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143A6" w14:textId="2E01A9CF" w:rsidR="00204A5E" w:rsidRPr="00204A5E" w:rsidRDefault="00204A5E" w:rsidP="000A2B58">
      <w:pPr>
        <w:pStyle w:val="Abstracttext"/>
        <w:rPr>
          <w:b/>
        </w:rPr>
      </w:pPr>
      <w:r>
        <w:rPr>
          <w:b/>
        </w:rPr>
        <w:t>Abstract</w:t>
      </w:r>
    </w:p>
    <w:p w14:paraId="1D01A14D" w14:textId="06D0F91B" w:rsidR="000A2B58" w:rsidRDefault="000A2B58" w:rsidP="000A2B58">
      <w:pPr>
        <w:pStyle w:val="Abstracttext"/>
      </w:pPr>
      <w:r w:rsidRPr="00E2322B">
        <w:t>Pathogenic mito</w:t>
      </w:r>
      <w:bookmarkStart w:id="0" w:name="_GoBack"/>
      <w:bookmarkEnd w:id="0"/>
      <w:r w:rsidRPr="00E2322B">
        <w:t>chondrial DNA (mtDNA) variants are responsible for diverse pathologies and can result in childhood lethality. To date, no effective therapies have been identified.</w:t>
      </w:r>
      <w:r w:rsidR="00FD0EEA">
        <w:fldChar w:fldCharType="begin" w:fldLock="1"/>
      </w:r>
      <w:r w:rsidR="00204A5E">
        <w:instrText>ADDIN CSL_CITATION {"citationItems":[{"id":"ITEM-1","itemData":{"DOI":"10.1007/s00415-015-7884-3","ISBN":"0041501578","ISSN":"14321459","PMID":"26315846","abstract":"Mitochondrial disease is one of the most common groups of genetic diseases with a minimum prevalence of greater than 1 in 5000 in adults. Whilst multi-system involvement is often evident, neurological manifestation is the principal presentation in most cases. The multiple clinical phenotypes and the involvement of both the mitochondrial and nuclear genome make mitochondrial disease particularly challenging for the clinician. In this review article we cover mitochondrial genetics and common neurological presentations associated with adult mitochondrial disease. In addition, specific and supportive treatments are discussed.","author":[{"dropping-particle":"","family":"Ng","given":"Yi Shiau","non-dropping-particle":"","parse-names":false,"suffix":""},{"dropping-particle":"","family":"Turnbull","given":"Doug M.","non-dropping-particle":"","parse-names":false,"suffix":""}],"container-title":"Journal of Neurology","id":"ITEM-1","issue":"1","issued":{"date-parts":[["2016"]]},"page":"179-191","publisher":"Springer Berlin Heidelberg","title":"Mitochondrial disease: genetics and management","type":"article-journal","volume":"263"},"uris":["http://www.mendeley.com/documents/?uuid=e4b8dd03-0cb9-4d91-8a91-d4540c9c130e"]}],"mendeley":{"formattedCitation":"&lt;sup&gt;1&lt;/sup&gt;","plainTextFormattedCitation":"1","previouslyFormattedCitation":"&lt;sup&gt;1&lt;/sup&gt;"},"properties":{"noteIndex":0},"schema":"https://github.com/citation-style-language/schema/raw/master/csl-citation.json"}</w:instrText>
      </w:r>
      <w:r w:rsidR="00FD0EEA">
        <w:fldChar w:fldCharType="separate"/>
      </w:r>
      <w:r w:rsidR="00FD0EEA" w:rsidRPr="00FD0EEA">
        <w:rPr>
          <w:noProof/>
          <w:vertAlign w:val="superscript"/>
        </w:rPr>
        <w:t>1</w:t>
      </w:r>
      <w:r w:rsidR="00FD0EEA">
        <w:fldChar w:fldCharType="end"/>
      </w:r>
      <w:r w:rsidRPr="00E2322B">
        <w:t xml:space="preserve"> These mtDNA variants are typically heteroplasmic, where both the wild-type and pathogenic variant coexist within the</w:t>
      </w:r>
      <w:r>
        <w:t xml:space="preserve"> same</w:t>
      </w:r>
      <w:r w:rsidRPr="00E2322B">
        <w:t xml:space="preserve"> cell, which makes shifting heteroplasmy a potential therapeutic strategy as heteroplasmy load </w:t>
      </w:r>
      <w:r>
        <w:t>directly c</w:t>
      </w:r>
      <w:r w:rsidRPr="00E2322B">
        <w:t>orrelates with disease penetrance and severity.</w:t>
      </w:r>
      <w:r w:rsidR="00204A5E">
        <w:fldChar w:fldCharType="begin" w:fldLock="1"/>
      </w:r>
      <w:r w:rsidR="00204A5E">
        <w:instrText>ADDIN CSL_CITATION {"citationItems":[{"id":"ITEM-1","itemData":{"DOI":"10.1016/j.physbeh.2017.03.040","ISBN":"0000000000","author":[{"dropping-particle":"V.","family":"Pereira","given":"Claudia","non-dropping-particle":"","parse-names":false,"suffix":""},{"dropping-particle":"","family":"Moraes","given":"Carlos T.","non-dropping-particle":"","parse-names":false,"suffix":""}],"container-title":"Front Biosci","id":"ITEM-1","issued":{"date-parts":[["2017"]]},"note":"well author manuscript was available in 2020 but the actual paper was published in 2017","page":"991-1010","title":"Current strategies towards therapeutic manipulation of mtDNA heteroplasmy","type":"article-journal","volume":"22"},"uris":["http://www.mendeley.com/documents/?uuid=871a0904-41b4-4ab1-894e-5bcc71699091"]}],"mendeley":{"formattedCitation":"&lt;sup&gt;2&lt;/sup&gt;","plainTextFormattedCitation":"2","previouslyFormattedCitation":"&lt;sup&gt;2&lt;/sup&gt;"},"properties":{"noteIndex":0},"schema":"https://github.com/citation-style-language/schema/raw/master/csl-citation.json"}</w:instrText>
      </w:r>
      <w:r w:rsidR="00204A5E">
        <w:fldChar w:fldCharType="separate"/>
      </w:r>
      <w:r w:rsidR="00204A5E" w:rsidRPr="00204A5E">
        <w:rPr>
          <w:noProof/>
          <w:vertAlign w:val="superscript"/>
        </w:rPr>
        <w:t>2</w:t>
      </w:r>
      <w:r w:rsidR="00204A5E">
        <w:fldChar w:fldCharType="end"/>
      </w:r>
      <w:r w:rsidRPr="00E2322B">
        <w:t xml:space="preserve"> The T&gt;C variant at m.10191 is associated with Leigh syndrome</w:t>
      </w:r>
      <w:r>
        <w:t>, a pediatric disorder present in around 1:40,000 individuals</w:t>
      </w:r>
      <w:r w:rsidRPr="00E2322B">
        <w:t>. We previously found that this change result</w:t>
      </w:r>
      <w:r>
        <w:t>ed</w:t>
      </w:r>
      <w:r w:rsidRPr="00E2322B">
        <w:t xml:space="preserve"> in an increased potential to form a local guanine quadruplex (G4).</w:t>
      </w:r>
      <w:r w:rsidR="00204A5E">
        <w:fldChar w:fldCharType="begin" w:fldLock="1"/>
      </w:r>
      <w:r w:rsidR="00204A5E">
        <w:instrText>ADDIN CSL_CITATION {"citationItems":[{"id":"ITEM-1","itemData":{"DOI":"10.1093/hmg/ddz153","ISSN":"14602083","abstract":"Disease-associated variants in mitochondrial DNA (mtDNA) are frequently heteroplasmic, a state of co-existence with the wild-type genome. Because heteroplasmy correlates with the severity and penetrance of disease, improvement in the ratio between these genomes in favor of the wild-type, known as heteroplasmy shifting, is potentially therapeutic. We evaluated known pathogenic mtDNA variants and identified those with the potential for allele-specific differences in the formation of non-Watson-Crick G-quadruplex (GQ) structures. We found that the Leigh syndrome (LS)-associated m.10191C variant promotes GQ formation within local sequence in vitro. Interaction of this sequence with a small molecule GQ-binding agent, berberine hydrochloride, further increased GQ stability. The GQ formed at m.10191C differentially impeded the processivity of the mitochondrial DNA polymerase gamma (Pol γ) in vitro, providing a potential means to favor replication of the wild-type allele. We tested the potential for shifting heteroplasmy through the cyclical application of two different mitochondria-targeted GQ binding compounds in primary fibroblasts from patients with m.10191T&gt;C heteroplasmy. Treatment induced alternating mtDNA depletion and repopulation and was effective in shifting heteroplasmy towards the non-pathogenic allele. Similar treatment of pathogenic heteroplasmies that do not affect GQ formation did not induce heteroplasmy shift. Following treatment, heteroplasmic m.10191T&gt;C cells had persistent improvements and heteroplasmy and a corresponding increase in maximal mitochondrial oxygen consumption. This study demonstrates the potential for using small-molecule GQ-binding agents to induce genetic and functional improvements in m.10191T&gt;C heteroplasmy.","author":[{"dropping-particle":"","family":"Naeem","given":"Mansur M.","non-dropping-particle":"","parse-names":false,"suffix":""},{"dropping-particle":"","family":"Maheshan","given":"Rathena","non-dropping-particle":"","parse-names":false,"suffix":""},{"dropping-particle":"","family":"Costford","given":"Sheila R.","non-dropping-particle":"","parse-names":false,"suffix":""},{"dropping-particle":"","family":"Wahedi","given":"Azizia","non-dropping-particle":"","parse-names":false,"suffix":""},{"dropping-particle":"","family":"Trajkovski","given":"Marko","non-dropping-particle":"","parse-names":false,"suffix":""},{"dropping-particle":"","family":"Plavec","given":"Janez","non-dropping-particle":"","parse-names":false,"suffix":""},{"dropping-particle":"","family":"Yatsunyk","given":"Liliya A.","non-dropping-particle":"","parse-names":false,"suffix":""},{"dropping-particle":"","family":"Ciesielski","given":"Grzegorz L.","non-dropping-particle":"","parse-names":false,"suffix":""},{"dropping-particle":"","family":"Kaufman","given":"Brett A.","non-dropping-particle":"","parse-names":false,"suffix":""},{"dropping-particle":"","family":"Sondheimer","given":"Neal","non-dropping-particle":"","parse-names":false,"suffix":""}],"container-title":"Human Molecular Genetics","id":"ITEM-1","issue":"19","issued":{"date-parts":[["2019"]]},"page":"3163-3174","title":"G-quadruplex-mediated reduction of a pathogenic mitochondrial heteroplasmy","type":"article-journal","volume":"28"},"uris":["http://www.mendeley.com/documents/?uuid=209ad90b-a132-4587-b35d-d87704902642"]}],"mendeley":{"formattedCitation":"&lt;sup&gt;3&lt;/sup&gt;","plainTextFormattedCitation":"3","previouslyFormattedCitation":"&lt;sup&gt;3&lt;/sup&gt;"},"properties":{"noteIndex":0},"schema":"https://github.com/citation-style-language/schema/raw/master/csl-citation.json"}</w:instrText>
      </w:r>
      <w:r w:rsidR="00204A5E">
        <w:fldChar w:fldCharType="separate"/>
      </w:r>
      <w:r w:rsidR="00204A5E" w:rsidRPr="00204A5E">
        <w:rPr>
          <w:noProof/>
          <w:vertAlign w:val="superscript"/>
        </w:rPr>
        <w:t>3</w:t>
      </w:r>
      <w:r w:rsidR="00204A5E">
        <w:fldChar w:fldCharType="end"/>
      </w:r>
      <w:r w:rsidRPr="00E2322B">
        <w:t xml:space="preserve"> G4s are non-canonical DNA secondary structures formed by short poly-guanine tracks</w:t>
      </w:r>
      <w:r>
        <w:t xml:space="preserve"> </w:t>
      </w:r>
      <w:r w:rsidRPr="00E2322B">
        <w:t>which can stall polymerase activity.</w:t>
      </w:r>
      <w:r w:rsidR="00204A5E">
        <w:fldChar w:fldCharType="begin" w:fldLock="1"/>
      </w:r>
      <w:r w:rsidR="00204A5E">
        <w:instrText>ADDIN CSL_CITATION {"citationItems":[{"id":"ITEM-1","itemData":{"DOI":"10.1016/S0163-7258(99)00068-6","ISSN":"01637258","abstract":"G-quadruplexes are a family of secondary DNA structures formed in the presence of monovalent cations that consist of four-stranded structures in which Hoogsteen base-pairing stabilizes G-tetrad structures. These structures are proposed to exist in vivo, although direct confirmatory evidence is lacking. Guanine-rich regions of DNA capable of forming G-quadruplex structures are found in a variety of chromosomal regions, including telomeres and promoter regions of DNA. In this review, we describe the design of three separate groups of G-quadruplex-interactive compounds and their interaction with G-quadruplex DNA. Using the first group of compounds (anthraquinones), we describe experiments that provide the proof of concept that a G-quadruplex is required for inhibition of telomerase. Using the second group of compounds (perylenes), we describe the structure of a G-quadruplex-ligand complex and its effect on the dynamics of formation and enzymatic unwinding of the quadruplex. For the third group of compounds (porphyrins), we describe the experiments that relate the biological effects to their interactions with G-quadruplexes. Copyright (C) 2000 Elsevier Science Inc.","author":[{"dropping-particle":"","family":"Hurley","given":"Laurence H.","non-dropping-particle":"","parse-names":false,"suffix":""},{"dropping-particle":"","family":"Wheelhouse","given":"Richard T.","non-dropping-particle":"","parse-names":false,"suffix":""},{"dropping-particle":"","family":"Sun","given":"Daekyu","non-dropping-particle":"","parse-names":false,"suffix":""},{"dropping-particle":"","family":"Kerwin","given":"Sean M.","non-dropping-particle":"","parse-names":false,"suffix":""},{"dropping-particle":"","family":"Salazar","given":"Miguel","non-dropping-particle":"","parse-names":false,"suffix":""},{"dropping-particle":"","family":"Fedoroff","given":"Oleg Yu","non-dropping-particle":"","parse-names":false,"suffix":""},{"dropping-particle":"","family":"Han","given":"Frank X.","non-dropping-particle":"","parse-names":false,"suffix":""},{"dropping-particle":"","family":"Han","given":"Haiyong","non-dropping-particle":"","parse-names":false,"suffix":""},{"dropping-particle":"","family":"Izbicka","given":"Elzbieta","non-dropping-particle":"","parse-names":false,"suffix":""},{"dropping-particle":"","family":"Hoff","given":"Daniel D.","non-dropping-particle":"Von","parse-names":false,"suffix":""}],"container-title":"Pharmacology and Therapeutics","id":"ITEM-1","issue":"3","issued":{"date-parts":[["2000"]]},"page":"141-158","title":"G-quadruplexes as targets for drug design","type":"article-journal","volume":"85"},"uris":["http://www.mendeley.com/documents/?uuid=92f5ad9f-396c-47a5-91ab-751b741adb81"]}],"mendeley":{"formattedCitation":"&lt;sup&gt;4&lt;/sup&gt;","plainTextFormattedCitation":"4","previouslyFormattedCitation":"&lt;sup&gt;4&lt;/sup&gt;"},"properties":{"noteIndex":0},"schema":"https://github.com/citation-style-language/schema/raw/master/csl-citation.json"}</w:instrText>
      </w:r>
      <w:r w:rsidR="00204A5E">
        <w:fldChar w:fldCharType="separate"/>
      </w:r>
      <w:r w:rsidR="00204A5E" w:rsidRPr="00204A5E">
        <w:rPr>
          <w:noProof/>
          <w:vertAlign w:val="superscript"/>
        </w:rPr>
        <w:t>4</w:t>
      </w:r>
      <w:r w:rsidR="00204A5E">
        <w:fldChar w:fldCharType="end"/>
      </w:r>
      <w:r w:rsidR="00204A5E">
        <w:t xml:space="preserve"> </w:t>
      </w:r>
      <w:r w:rsidRPr="00E2322B">
        <w:t xml:space="preserve">Therefore, the G4 structure can be utilized to decrease transcription and replication of the pathogenic C variant, hence increasing the proportion of the wild-type T variant inside the cell and shifting heteroplasmy. </w:t>
      </w:r>
    </w:p>
    <w:p w14:paraId="6295BB0C" w14:textId="72105473" w:rsidR="000A2B58" w:rsidRDefault="000A2B58" w:rsidP="000A2B58">
      <w:pPr>
        <w:pStyle w:val="Abstracttext"/>
      </w:pPr>
      <w:r>
        <w:t xml:space="preserve">First part of my PhD aimed to identify small molecule compounds with high specificity towards m.10191C which are able to shift heteroplasmy therapeutically. </w:t>
      </w:r>
      <w:r w:rsidRPr="00E2322B">
        <w:t xml:space="preserve">Through a collaboration, </w:t>
      </w:r>
      <w:r>
        <w:t>I</w:t>
      </w:r>
      <w:r w:rsidRPr="00E2322B">
        <w:t xml:space="preserve"> screened over 20,000 small molecule compounds for those with G4 binding propensities based upon interaction with </w:t>
      </w:r>
      <w:r>
        <w:t>the m.10191C;</w:t>
      </w:r>
      <w:r w:rsidR="00204A5E">
        <w:fldChar w:fldCharType="begin" w:fldLock="1"/>
      </w:r>
      <w:r w:rsidR="00204A5E">
        <w:instrText>ADDIN CSL_CITATION {"citationItems":[{"id":"ITEM-1","itemData":{"DOI":"10.1021/acschembio.5b00577","ISSN":"15548937","PMID":"26462961","abstract":"The transcription factor MYC plays a pivotal role in cancer initiation, progression, and maintenance. However, it has proven difficult to develop small molecule inhibitors of MYC. One attractive route to pharmacological inhibition of MYC has been the prevention of its expression through small molecule-mediated stabilization of the G-quadruplex (G4) present in its promoter. Although molecules that bind globally to quadruplex DNA and influence gene expression are well-known, the identification of new chemical scaffolds that selectively modulate G4-driven genes remains a challenge. Here, we report an approach for the identification of G4-binding small molecules using small molecule microarrays (SMMs). We use the SMM screening platform to identify a novel G4-binding small molecule that inhibits MYC expression in cell models, with minimal impact on the expression of other G4-associated genes. Surface plasmon resonance (SPR) and thermal melt assays demonstrated that this molecule binds reversibly to the MYC G4 with single digit micromolar affinity, and with weaker or no measurable binding to other G4s. Biochemical and cell-based assays demonstrated that the compound effectively silenced MYC transcription and translation via a G4-dependent mechanism of action. The compound induced G1 arrest and was selectively toxic to MYC-driven cancer cell lines containing the G4 in the promoter but had minimal effects in peripheral blood mononucleocytes or a cell line lacking the G4 in its MYC promoter. As a measure of selectivity, gene expression analysis and qPCR experiments demonstrated that MYC and several MYC target genes were downregulated upon treatment with this compound, while the expression of several other G4-driven genes was not affected. In addition to providing a novel chemical scaffold that modulates MYC expression through G4 binding, this work suggests that the SMM screening approach may be broadly useful as an approach for the identification of new G4-binding small molecules.","author":[{"dropping-particle":"","family":"Felsenstein","given":"Kenneth M.","non-dropping-particle":"","parse-names":false,"suffix":""},{"dropping-particle":"","family":"Saunders","given":"Lindsey B.","non-dropping-particle":"","parse-names":false,"suffix":""},{"dropping-particle":"","family":"Simmons","given":"John K.","non-dropping-particle":"","parse-names":false,"suffix":""},{"dropping-particle":"","family":"Leon","given":"Elena","non-dropping-particle":"","parse-names":false,"suffix":""},{"dropping-particle":"","family":"Calabrese","given":"David R.","non-dropping-particle":"","parse-names":false,"suffix":""},{"dropping-particle":"","family":"Zhang","given":"Shuling","non-dropping-particle":"","parse-names":false,"suffix":""},{"dropping-particle":"","family":"Michalowski","given":"Aleksandra","non-dropping-particle":"","parse-names":false,"suffix":""},{"dropping-particle":"","family":"Gareiss","given":"Peter","non-dropping-particle":"","parse-names":false,"suffix":""},{"dropping-particle":"","family":"Mock","given":"Beverly A.","non-dropping-particle":"","parse-names":false,"suffix":""},{"dropping-particle":"","family":"Schneekloth","given":"John S.","non-dropping-particle":"","parse-names":false,"suffix":""}],"container-title":"ACS Chemical Biology","id":"ITEM-1","issue":"1","issued":{"date-parts":[["2016"]]},"page":"138-148","title":"Small Molecule Microarrays Enable the Identification of a Selective, Quadruplex-Binding Inhibitor of MYC Expression","type":"article-journal","volume":"11"},"uris":["http://www.mendeley.com/documents/?uuid=c9cbdf34-10bc-49e8-b1fe-d28b1d78028f"]}],"mendeley":{"formattedCitation":"&lt;sup&gt;5&lt;/sup&gt;","plainTextFormattedCitation":"5","previouslyFormattedCitation":"&lt;sup&gt;5&lt;/sup&gt;"},"properties":{"noteIndex":0},"schema":"https://github.com/citation-style-language/schema/raw/master/csl-citation.json"}</w:instrText>
      </w:r>
      <w:r w:rsidR="00204A5E">
        <w:fldChar w:fldCharType="separate"/>
      </w:r>
      <w:r w:rsidR="00204A5E" w:rsidRPr="00204A5E">
        <w:rPr>
          <w:noProof/>
          <w:vertAlign w:val="superscript"/>
        </w:rPr>
        <w:t>5</w:t>
      </w:r>
      <w:r w:rsidR="00204A5E">
        <w:fldChar w:fldCharType="end"/>
      </w:r>
      <w:r>
        <w:t xml:space="preserve"> I performed downstream assays to characterize the effect of candidate compounds on patient fibroblasts. The second part of my project aimed to</w:t>
      </w:r>
      <w:r w:rsidRPr="00E2322B">
        <w:t xml:space="preserve"> </w:t>
      </w:r>
      <w:r>
        <w:t>u</w:t>
      </w:r>
      <w:r w:rsidRPr="00E2322B">
        <w:t>nderstand the molecular mechanism behind heteroplasmy shift</w:t>
      </w:r>
      <w:r>
        <w:t xml:space="preserve">. As our lab has previously identified G4 binding agents (G4BA) capable of shifting heteroplasmy, I wanted to better understand its mechanism to help future drug discovery efforts and to uncover potential synergistic treatment options. Better understanding of small molecule based heteroplasmy shifting may prove worthwhile for not just metabolic disorders, as mitochondrial function has </w:t>
      </w:r>
      <w:r>
        <w:lastRenderedPageBreak/>
        <w:t>been implicated in mental health disorders as well, notably autism spectrum disorder (ASD).</w:t>
      </w:r>
      <w:r w:rsidR="00204A5E">
        <w:fldChar w:fldCharType="begin" w:fldLock="1"/>
      </w:r>
      <w:r w:rsidR="00204A5E">
        <w:instrText>ADDIN CSL_CITATION {"citationItems":[{"id":"ITEM-1","itemData":{"DOI":"10.1016/j.biopsych.2017.11.018","ISSN":"18732402","abstract":"The brain has the highest mitochondrial energy demand of any organ. Therefore, subtle changes in mitochondrial energy production will preferentially affect the brain. Considerable biochemical evidence has accumulated revealing mitochondrial defects associated with neuropsychiatric diseases. Moreover, the mitochondrial genome encompasses over a thousand nuclear DNA genes plus hundreds to thousands of copies of the maternally inherited mitochondrial DNA (mtDNA). Therefore, partial defects in either the nuclear DNA or mtDNA genes or combinations of the two can be sufficient to cause neuropsychiatric disorders. Inherited and acquired mtDNA mutations have recently been associated with autism spectrum disorder, which parallels previous evidence of mtDNA variation in other neurological diseases. Therefore, mitochondrial dysfunction may be central to the etiology of a wide spectrum of neurological diseases. The mitochondria and the nucleus communicate to coordinate energy production and utilization, providing the potential for therapeutics by manipulating nuclear regulation of mitochondrial gene expression.","author":[{"dropping-particle":"","family":"Pei","given":"Liming","non-dropping-particle":"","parse-names":false,"suffix":""},{"dropping-particle":"","family":"Wallace","given":"Douglas C.","non-dropping-particle":"","parse-names":false,"suffix":""}],"container-title":"Biological Psychiatry","id":"ITEM-1","issue":"9","issued":{"date-parts":[["2018"]]},"note":"refs to pay attention to \n74, 77, 2, 3, 4","page":"722-730","publisher":"Elsevier Inc","title":"Mitochondrial Etiology of Neuropsychiatric Disorders","type":"article-journal","volume":"83"},"uris":["http://www.mendeley.com/documents/?uuid=479a9b7e-a814-481b-8b55-65d9757f41da"]},{"id":"ITEM-2","itemData":{"DOI":"10.1016/j.biopsych.2018.03.004","ISSN":"18732402","PMID":"29628041","author":[{"dropping-particle":"","family":"Andreazza","given":"Ana C.","non-dropping-particle":"","parse-names":false,"suffix":""},{"dropping-particle":"","family":"Nierenberg","given":"Andrew A.","non-dropping-particle":"","parse-names":false,"suffix":""}],"container-title":"Biological Psychiatry","id":"ITEM-2","issue":"9","issued":{"date-parts":[["2018"]]},"page":"718-719","publisher":"Elsevier Inc","title":"Mitochondrial Dysfunction: At the Core of Psychiatric Disorders?","type":"article-journal","volume":"83"},"uris":["http://www.mendeley.com/documents/?uuid=8b28d19e-0a73-43a6-a08a-0d4ce828bbf6"]}],"mendeley":{"formattedCitation":"&lt;sup&gt;6,7&lt;/sup&gt;","plainTextFormattedCitation":"6,7","previouslyFormattedCitation":"&lt;sup&gt;6,7&lt;/sup&gt;"},"properties":{"noteIndex":0},"schema":"https://github.com/citation-style-language/schema/raw/master/csl-citation.json"}</w:instrText>
      </w:r>
      <w:r w:rsidR="00204A5E">
        <w:fldChar w:fldCharType="separate"/>
      </w:r>
      <w:r w:rsidR="00204A5E" w:rsidRPr="00204A5E">
        <w:rPr>
          <w:noProof/>
          <w:vertAlign w:val="superscript"/>
        </w:rPr>
        <w:t>6,7</w:t>
      </w:r>
      <w:r w:rsidR="00204A5E">
        <w:fldChar w:fldCharType="end"/>
      </w:r>
      <w:r>
        <w:t xml:space="preserve"> Some recent research have demonstrated a potential link between mtDNA heteroplasmy and manifestation of ASD,</w:t>
      </w:r>
      <w:r w:rsidR="00204A5E">
        <w:fldChar w:fldCharType="begin" w:fldLock="1"/>
      </w:r>
      <w:r w:rsidR="00204A5E">
        <w:instrText>ADDIN CSL_CITATION {"citationItems":[{"id":"ITEM-1","itemData":{"DOI":"10.1371/journal.pgen.1006391","ISSN":"15537404","abstract":"Increasing clinical and biochemical evidence implicate mitochondrial dysfunction in the pathophysiology of Autism Spectrum Disorder (ASD), but little is known about the biological basis for this connection. A possible cause of ASD is the genetic variation in the mitochondrial DNA (mtDNA) sequence, which has yet to be thoroughly investigated in large genomic studies of ASD. Here we evaluated mtDNA variation, including the mixture of different mtDNA molecules in the same individual (i.e., heteroplasmy), using whole-exome sequencing data from mother-proband-sibling trios from simplex families (n = 903) where only one child is affected by ASD. We found that heteroplasmic mutations in autistic probands were enriched at non-polymorphic mtDNA sites (P = 0.0015), which were more likely to confer deleterious effects than heteroplasmies at polymorphic mtDNA sites. Accordingly, we observed a ~1.5-fold enrichment of nonsynonymous mutations (P = 0.0028) as well as a ~2.2-fold enrichment of predicted pathogenic mutations (P = 0.0016) in autistic probands compared to their non-autistic siblings. Both nonsynonymous and predicted pathogenic mutations private to probands conferred increased risk of ASD (Odds Ratio, OR[95% CI] = 1.87[1.14–3.11] and 2.55[1.26–5.51], respectively), and their influence on ASD was most pronounced in families with probands showing diminished IQ and/or impaired social behavior compared to their non-autistic siblings. We also showed that the genetic transmission pattern of mtDNA heteroplasmies with high pathogenic potential differed between mother-autistic proband pairs and mother-sibling pairs, implicating developmental and possibly in utero contributions. Taken together, our genetic findings substantiate pathogenic mtDNA mutations as a potential cause for ASD and synergize with recent work calling attention to their unique metabolic phenotypes for diagnosis and treatment of children with ASD.","author":[{"dropping-particle":"","family":"Wang","given":"Yiqin","non-dropping-particle":"","parse-names":false,"suffix":""},{"dropping-particle":"","family":"Picard","given":"Martin","non-dropping-particle":"","parse-names":false,"suffix":""},{"dropping-particle":"","family":"Gu","given":"Zhenglong","non-dropping-particle":"","parse-names":false,"suffix":""}],"container-title":"PLoS Genetics","id":"ITEM-1","issue":"10","issued":{"date-parts":[["2016"]]},"page":"1-24","title":"Genetic Evidence for Elevated Pathogenicity of Mitochondrial DNA Heteroplasmy in Autism Spectrum Disorder","type":"article-journal","volume":"12"},"uris":["http://www.mendeley.com/documents/?uuid=94d8dcfd-4fdd-450b-b6df-2a711ee46e36"]}],"mendeley":{"formattedCitation":"&lt;sup&gt;8&lt;/sup&gt;","plainTextFormattedCitation":"8","previouslyFormattedCitation":"&lt;sup&gt;8&lt;/sup&gt;"},"properties":{"noteIndex":0},"schema":"https://github.com/citation-style-language/schema/raw/master/csl-citation.json"}</w:instrText>
      </w:r>
      <w:r w:rsidR="00204A5E">
        <w:fldChar w:fldCharType="separate"/>
      </w:r>
      <w:r w:rsidR="00204A5E" w:rsidRPr="00204A5E">
        <w:rPr>
          <w:noProof/>
          <w:vertAlign w:val="superscript"/>
        </w:rPr>
        <w:t>8</w:t>
      </w:r>
      <w:r w:rsidR="00204A5E">
        <w:fldChar w:fldCharType="end"/>
      </w:r>
      <w:r>
        <w:t xml:space="preserve"> the third chapter of my thesis aims to further explore this in the MSSNG patient cohort.</w:t>
      </w:r>
    </w:p>
    <w:p w14:paraId="25359E6B" w14:textId="5B28EAF9" w:rsidR="000A2B58" w:rsidRDefault="000A2B58" w:rsidP="000A2B58">
      <w:pPr>
        <w:pStyle w:val="Abstracttext"/>
      </w:pPr>
      <w:r>
        <w:t>Taken together, my thesis provides a strategy towards mitochondrial heteroplasmy shifting, uncovers the role of fission and autophagy in mitochondrial heteroplasmy, as well as explore the role of heteroplasmy in ASD patients.</w:t>
      </w:r>
    </w:p>
    <w:p w14:paraId="4BCB2DA5" w14:textId="4CA2EEF4" w:rsidR="00204A5E" w:rsidRDefault="00204A5E" w:rsidP="000A2B58">
      <w:pPr>
        <w:pStyle w:val="Abstracttext"/>
      </w:pPr>
    </w:p>
    <w:p w14:paraId="21B5E294" w14:textId="7B794BC7" w:rsidR="00204A5E" w:rsidRDefault="00204A5E" w:rsidP="000A2B58">
      <w:pPr>
        <w:pStyle w:val="Abstracttext"/>
      </w:pPr>
      <w:r>
        <w:t>References:</w:t>
      </w:r>
    </w:p>
    <w:p w14:paraId="12DEE052" w14:textId="3AF78DAF" w:rsidR="00204A5E" w:rsidRPr="00204A5E" w:rsidRDefault="00204A5E" w:rsidP="00204A5E">
      <w:pPr>
        <w:widowControl w:val="0"/>
        <w:autoSpaceDE w:val="0"/>
        <w:autoSpaceDN w:val="0"/>
        <w:adjustRightInd w:val="0"/>
        <w:spacing w:before="240" w:after="0" w:line="480" w:lineRule="auto"/>
        <w:ind w:left="640" w:hanging="640"/>
        <w:rPr>
          <w:rFonts w:ascii="Times New Roman" w:hAnsi="Times New Roman" w:cs="Times New Roman"/>
          <w:noProof/>
          <w:lang w:val="en-US"/>
        </w:rPr>
      </w:pPr>
      <w:r>
        <w:fldChar w:fldCharType="begin" w:fldLock="1"/>
      </w:r>
      <w:r>
        <w:instrText xml:space="preserve">ADDIN Mendeley Bibliography CSL_BIBLIOGRAPHY </w:instrText>
      </w:r>
      <w:r>
        <w:fldChar w:fldCharType="separate"/>
      </w:r>
      <w:r w:rsidRPr="00204A5E">
        <w:rPr>
          <w:rFonts w:ascii="Times New Roman" w:hAnsi="Times New Roman" w:cs="Times New Roman"/>
          <w:noProof/>
          <w:lang w:val="en-US"/>
        </w:rPr>
        <w:t>1.</w:t>
      </w:r>
      <w:r w:rsidRPr="00204A5E">
        <w:rPr>
          <w:rFonts w:ascii="Times New Roman" w:hAnsi="Times New Roman" w:cs="Times New Roman"/>
          <w:noProof/>
          <w:lang w:val="en-US"/>
        </w:rPr>
        <w:tab/>
        <w:t xml:space="preserve">Ng, Y. S. &amp; Turnbull, D. M. Mitochondrial disease: genetics and management. </w:t>
      </w:r>
      <w:r w:rsidRPr="00204A5E">
        <w:rPr>
          <w:rFonts w:ascii="Times New Roman" w:hAnsi="Times New Roman" w:cs="Times New Roman"/>
          <w:i/>
          <w:iCs/>
          <w:noProof/>
          <w:lang w:val="en-US"/>
        </w:rPr>
        <w:t>J. Neurol.</w:t>
      </w:r>
      <w:r w:rsidRPr="00204A5E">
        <w:rPr>
          <w:rFonts w:ascii="Times New Roman" w:hAnsi="Times New Roman" w:cs="Times New Roman"/>
          <w:noProof/>
          <w:lang w:val="en-US"/>
        </w:rPr>
        <w:t xml:space="preserve"> </w:t>
      </w:r>
      <w:r w:rsidRPr="00204A5E">
        <w:rPr>
          <w:rFonts w:ascii="Times New Roman" w:hAnsi="Times New Roman" w:cs="Times New Roman"/>
          <w:b/>
          <w:bCs/>
          <w:noProof/>
          <w:lang w:val="en-US"/>
        </w:rPr>
        <w:t>263</w:t>
      </w:r>
      <w:r w:rsidRPr="00204A5E">
        <w:rPr>
          <w:rFonts w:ascii="Times New Roman" w:hAnsi="Times New Roman" w:cs="Times New Roman"/>
          <w:noProof/>
          <w:lang w:val="en-US"/>
        </w:rPr>
        <w:t>, 179–191 (2016).</w:t>
      </w:r>
    </w:p>
    <w:p w14:paraId="0B505853" w14:textId="77777777" w:rsidR="00204A5E" w:rsidRPr="00204A5E" w:rsidRDefault="00204A5E" w:rsidP="00204A5E">
      <w:pPr>
        <w:widowControl w:val="0"/>
        <w:autoSpaceDE w:val="0"/>
        <w:autoSpaceDN w:val="0"/>
        <w:adjustRightInd w:val="0"/>
        <w:spacing w:before="240" w:after="0" w:line="480" w:lineRule="auto"/>
        <w:ind w:left="640" w:hanging="640"/>
        <w:rPr>
          <w:rFonts w:ascii="Times New Roman" w:hAnsi="Times New Roman" w:cs="Times New Roman"/>
          <w:noProof/>
          <w:lang w:val="en-US"/>
        </w:rPr>
      </w:pPr>
      <w:r w:rsidRPr="00204A5E">
        <w:rPr>
          <w:rFonts w:ascii="Times New Roman" w:hAnsi="Times New Roman" w:cs="Times New Roman"/>
          <w:noProof/>
          <w:lang w:val="en-US"/>
        </w:rPr>
        <w:t>2.</w:t>
      </w:r>
      <w:r w:rsidRPr="00204A5E">
        <w:rPr>
          <w:rFonts w:ascii="Times New Roman" w:hAnsi="Times New Roman" w:cs="Times New Roman"/>
          <w:noProof/>
          <w:lang w:val="en-US"/>
        </w:rPr>
        <w:tab/>
        <w:t xml:space="preserve">Pereira, C. V. &amp; Moraes, C. T. Current strategies towards therapeutic manipulation of mtDNA heteroplasmy. </w:t>
      </w:r>
      <w:r w:rsidRPr="00204A5E">
        <w:rPr>
          <w:rFonts w:ascii="Times New Roman" w:hAnsi="Times New Roman" w:cs="Times New Roman"/>
          <w:i/>
          <w:iCs/>
          <w:noProof/>
          <w:lang w:val="en-US"/>
        </w:rPr>
        <w:t>Front Biosci</w:t>
      </w:r>
      <w:r w:rsidRPr="00204A5E">
        <w:rPr>
          <w:rFonts w:ascii="Times New Roman" w:hAnsi="Times New Roman" w:cs="Times New Roman"/>
          <w:noProof/>
          <w:lang w:val="en-US"/>
        </w:rPr>
        <w:t xml:space="preserve"> </w:t>
      </w:r>
      <w:r w:rsidRPr="00204A5E">
        <w:rPr>
          <w:rFonts w:ascii="Times New Roman" w:hAnsi="Times New Roman" w:cs="Times New Roman"/>
          <w:b/>
          <w:bCs/>
          <w:noProof/>
          <w:lang w:val="en-US"/>
        </w:rPr>
        <w:t>22</w:t>
      </w:r>
      <w:r w:rsidRPr="00204A5E">
        <w:rPr>
          <w:rFonts w:ascii="Times New Roman" w:hAnsi="Times New Roman" w:cs="Times New Roman"/>
          <w:noProof/>
          <w:lang w:val="en-US"/>
        </w:rPr>
        <w:t>, 991–1010 (2017).</w:t>
      </w:r>
    </w:p>
    <w:p w14:paraId="245913EA" w14:textId="77777777" w:rsidR="00204A5E" w:rsidRPr="00204A5E" w:rsidRDefault="00204A5E" w:rsidP="00204A5E">
      <w:pPr>
        <w:widowControl w:val="0"/>
        <w:autoSpaceDE w:val="0"/>
        <w:autoSpaceDN w:val="0"/>
        <w:adjustRightInd w:val="0"/>
        <w:spacing w:before="240" w:after="0" w:line="480" w:lineRule="auto"/>
        <w:ind w:left="640" w:hanging="640"/>
        <w:rPr>
          <w:rFonts w:ascii="Times New Roman" w:hAnsi="Times New Roman" w:cs="Times New Roman"/>
          <w:noProof/>
          <w:lang w:val="en-US"/>
        </w:rPr>
      </w:pPr>
      <w:r w:rsidRPr="00204A5E">
        <w:rPr>
          <w:rFonts w:ascii="Times New Roman" w:hAnsi="Times New Roman" w:cs="Times New Roman"/>
          <w:noProof/>
          <w:lang w:val="en-US"/>
        </w:rPr>
        <w:t>3.</w:t>
      </w:r>
      <w:r w:rsidRPr="00204A5E">
        <w:rPr>
          <w:rFonts w:ascii="Times New Roman" w:hAnsi="Times New Roman" w:cs="Times New Roman"/>
          <w:noProof/>
          <w:lang w:val="en-US"/>
        </w:rPr>
        <w:tab/>
        <w:t xml:space="preserve">Naeem, M. M. </w:t>
      </w:r>
      <w:r w:rsidRPr="00204A5E">
        <w:rPr>
          <w:rFonts w:ascii="Times New Roman" w:hAnsi="Times New Roman" w:cs="Times New Roman"/>
          <w:i/>
          <w:iCs/>
          <w:noProof/>
          <w:lang w:val="en-US"/>
        </w:rPr>
        <w:t>et al.</w:t>
      </w:r>
      <w:r w:rsidRPr="00204A5E">
        <w:rPr>
          <w:rFonts w:ascii="Times New Roman" w:hAnsi="Times New Roman" w:cs="Times New Roman"/>
          <w:noProof/>
          <w:lang w:val="en-US"/>
        </w:rPr>
        <w:t xml:space="preserve"> G-quadruplex-mediated reduction of a pathogenic mitochondrial heteroplasmy. </w:t>
      </w:r>
      <w:r w:rsidRPr="00204A5E">
        <w:rPr>
          <w:rFonts w:ascii="Times New Roman" w:hAnsi="Times New Roman" w:cs="Times New Roman"/>
          <w:i/>
          <w:iCs/>
          <w:noProof/>
          <w:lang w:val="en-US"/>
        </w:rPr>
        <w:t>Hum. Mol. Genet.</w:t>
      </w:r>
      <w:r w:rsidRPr="00204A5E">
        <w:rPr>
          <w:rFonts w:ascii="Times New Roman" w:hAnsi="Times New Roman" w:cs="Times New Roman"/>
          <w:noProof/>
          <w:lang w:val="en-US"/>
        </w:rPr>
        <w:t xml:space="preserve"> </w:t>
      </w:r>
      <w:r w:rsidRPr="00204A5E">
        <w:rPr>
          <w:rFonts w:ascii="Times New Roman" w:hAnsi="Times New Roman" w:cs="Times New Roman"/>
          <w:b/>
          <w:bCs/>
          <w:noProof/>
          <w:lang w:val="en-US"/>
        </w:rPr>
        <w:t>28</w:t>
      </w:r>
      <w:r w:rsidRPr="00204A5E">
        <w:rPr>
          <w:rFonts w:ascii="Times New Roman" w:hAnsi="Times New Roman" w:cs="Times New Roman"/>
          <w:noProof/>
          <w:lang w:val="en-US"/>
        </w:rPr>
        <w:t>, 3163–3174 (2019).</w:t>
      </w:r>
    </w:p>
    <w:p w14:paraId="085DAE7C" w14:textId="77777777" w:rsidR="00204A5E" w:rsidRPr="00204A5E" w:rsidRDefault="00204A5E" w:rsidP="00204A5E">
      <w:pPr>
        <w:widowControl w:val="0"/>
        <w:autoSpaceDE w:val="0"/>
        <w:autoSpaceDN w:val="0"/>
        <w:adjustRightInd w:val="0"/>
        <w:spacing w:before="240" w:after="0" w:line="480" w:lineRule="auto"/>
        <w:ind w:left="640" w:hanging="640"/>
        <w:rPr>
          <w:rFonts w:ascii="Times New Roman" w:hAnsi="Times New Roman" w:cs="Times New Roman"/>
          <w:noProof/>
          <w:lang w:val="en-US"/>
        </w:rPr>
      </w:pPr>
      <w:r w:rsidRPr="00204A5E">
        <w:rPr>
          <w:rFonts w:ascii="Times New Roman" w:hAnsi="Times New Roman" w:cs="Times New Roman"/>
          <w:noProof/>
          <w:lang w:val="en-US"/>
        </w:rPr>
        <w:t>4.</w:t>
      </w:r>
      <w:r w:rsidRPr="00204A5E">
        <w:rPr>
          <w:rFonts w:ascii="Times New Roman" w:hAnsi="Times New Roman" w:cs="Times New Roman"/>
          <w:noProof/>
          <w:lang w:val="en-US"/>
        </w:rPr>
        <w:tab/>
        <w:t xml:space="preserve">Hurley, L. H. </w:t>
      </w:r>
      <w:r w:rsidRPr="00204A5E">
        <w:rPr>
          <w:rFonts w:ascii="Times New Roman" w:hAnsi="Times New Roman" w:cs="Times New Roman"/>
          <w:i/>
          <w:iCs/>
          <w:noProof/>
          <w:lang w:val="en-US"/>
        </w:rPr>
        <w:t>et al.</w:t>
      </w:r>
      <w:r w:rsidRPr="00204A5E">
        <w:rPr>
          <w:rFonts w:ascii="Times New Roman" w:hAnsi="Times New Roman" w:cs="Times New Roman"/>
          <w:noProof/>
          <w:lang w:val="en-US"/>
        </w:rPr>
        <w:t xml:space="preserve"> G-quadruplexes as targets for drug design. </w:t>
      </w:r>
      <w:r w:rsidRPr="00204A5E">
        <w:rPr>
          <w:rFonts w:ascii="Times New Roman" w:hAnsi="Times New Roman" w:cs="Times New Roman"/>
          <w:i/>
          <w:iCs/>
          <w:noProof/>
          <w:lang w:val="en-US"/>
        </w:rPr>
        <w:t>Pharmacol. Ther.</w:t>
      </w:r>
      <w:r w:rsidRPr="00204A5E">
        <w:rPr>
          <w:rFonts w:ascii="Times New Roman" w:hAnsi="Times New Roman" w:cs="Times New Roman"/>
          <w:noProof/>
          <w:lang w:val="en-US"/>
        </w:rPr>
        <w:t xml:space="preserve"> </w:t>
      </w:r>
      <w:r w:rsidRPr="00204A5E">
        <w:rPr>
          <w:rFonts w:ascii="Times New Roman" w:hAnsi="Times New Roman" w:cs="Times New Roman"/>
          <w:b/>
          <w:bCs/>
          <w:noProof/>
          <w:lang w:val="en-US"/>
        </w:rPr>
        <w:t>85</w:t>
      </w:r>
      <w:r w:rsidRPr="00204A5E">
        <w:rPr>
          <w:rFonts w:ascii="Times New Roman" w:hAnsi="Times New Roman" w:cs="Times New Roman"/>
          <w:noProof/>
          <w:lang w:val="en-US"/>
        </w:rPr>
        <w:t>, 141–158 (2000).</w:t>
      </w:r>
    </w:p>
    <w:p w14:paraId="0CFB808D" w14:textId="77777777" w:rsidR="00204A5E" w:rsidRPr="00204A5E" w:rsidRDefault="00204A5E" w:rsidP="00204A5E">
      <w:pPr>
        <w:widowControl w:val="0"/>
        <w:autoSpaceDE w:val="0"/>
        <w:autoSpaceDN w:val="0"/>
        <w:adjustRightInd w:val="0"/>
        <w:spacing w:before="240" w:after="0" w:line="480" w:lineRule="auto"/>
        <w:ind w:left="640" w:hanging="640"/>
        <w:rPr>
          <w:rFonts w:ascii="Times New Roman" w:hAnsi="Times New Roman" w:cs="Times New Roman"/>
          <w:noProof/>
          <w:lang w:val="en-US"/>
        </w:rPr>
      </w:pPr>
      <w:r w:rsidRPr="00204A5E">
        <w:rPr>
          <w:rFonts w:ascii="Times New Roman" w:hAnsi="Times New Roman" w:cs="Times New Roman"/>
          <w:noProof/>
          <w:lang w:val="en-US"/>
        </w:rPr>
        <w:t>5.</w:t>
      </w:r>
      <w:r w:rsidRPr="00204A5E">
        <w:rPr>
          <w:rFonts w:ascii="Times New Roman" w:hAnsi="Times New Roman" w:cs="Times New Roman"/>
          <w:noProof/>
          <w:lang w:val="en-US"/>
        </w:rPr>
        <w:tab/>
        <w:t xml:space="preserve">Felsenstein, K. M. </w:t>
      </w:r>
      <w:r w:rsidRPr="00204A5E">
        <w:rPr>
          <w:rFonts w:ascii="Times New Roman" w:hAnsi="Times New Roman" w:cs="Times New Roman"/>
          <w:i/>
          <w:iCs/>
          <w:noProof/>
          <w:lang w:val="en-US"/>
        </w:rPr>
        <w:t>et al.</w:t>
      </w:r>
      <w:r w:rsidRPr="00204A5E">
        <w:rPr>
          <w:rFonts w:ascii="Times New Roman" w:hAnsi="Times New Roman" w:cs="Times New Roman"/>
          <w:noProof/>
          <w:lang w:val="en-US"/>
        </w:rPr>
        <w:t xml:space="preserve"> Small Molecule Microarrays Enable the Identification of a Selective, Quadruplex-Binding Inhibitor of MYC Expression. </w:t>
      </w:r>
      <w:r w:rsidRPr="00204A5E">
        <w:rPr>
          <w:rFonts w:ascii="Times New Roman" w:hAnsi="Times New Roman" w:cs="Times New Roman"/>
          <w:i/>
          <w:iCs/>
          <w:noProof/>
          <w:lang w:val="en-US"/>
        </w:rPr>
        <w:t>ACS Chem. Biol.</w:t>
      </w:r>
      <w:r w:rsidRPr="00204A5E">
        <w:rPr>
          <w:rFonts w:ascii="Times New Roman" w:hAnsi="Times New Roman" w:cs="Times New Roman"/>
          <w:noProof/>
          <w:lang w:val="en-US"/>
        </w:rPr>
        <w:t xml:space="preserve"> </w:t>
      </w:r>
      <w:r w:rsidRPr="00204A5E">
        <w:rPr>
          <w:rFonts w:ascii="Times New Roman" w:hAnsi="Times New Roman" w:cs="Times New Roman"/>
          <w:b/>
          <w:bCs/>
          <w:noProof/>
          <w:lang w:val="en-US"/>
        </w:rPr>
        <w:t>11</w:t>
      </w:r>
      <w:r w:rsidRPr="00204A5E">
        <w:rPr>
          <w:rFonts w:ascii="Times New Roman" w:hAnsi="Times New Roman" w:cs="Times New Roman"/>
          <w:noProof/>
          <w:lang w:val="en-US"/>
        </w:rPr>
        <w:t>, 138–148 (2016).</w:t>
      </w:r>
    </w:p>
    <w:p w14:paraId="277F48DD" w14:textId="77777777" w:rsidR="00204A5E" w:rsidRPr="00204A5E" w:rsidRDefault="00204A5E" w:rsidP="00204A5E">
      <w:pPr>
        <w:widowControl w:val="0"/>
        <w:autoSpaceDE w:val="0"/>
        <w:autoSpaceDN w:val="0"/>
        <w:adjustRightInd w:val="0"/>
        <w:spacing w:before="240" w:after="0" w:line="480" w:lineRule="auto"/>
        <w:ind w:left="640" w:hanging="640"/>
        <w:rPr>
          <w:rFonts w:ascii="Times New Roman" w:hAnsi="Times New Roman" w:cs="Times New Roman"/>
          <w:noProof/>
          <w:lang w:val="en-US"/>
        </w:rPr>
      </w:pPr>
      <w:r w:rsidRPr="00204A5E">
        <w:rPr>
          <w:rFonts w:ascii="Times New Roman" w:hAnsi="Times New Roman" w:cs="Times New Roman"/>
          <w:noProof/>
          <w:lang w:val="en-US"/>
        </w:rPr>
        <w:lastRenderedPageBreak/>
        <w:t>6.</w:t>
      </w:r>
      <w:r w:rsidRPr="00204A5E">
        <w:rPr>
          <w:rFonts w:ascii="Times New Roman" w:hAnsi="Times New Roman" w:cs="Times New Roman"/>
          <w:noProof/>
          <w:lang w:val="en-US"/>
        </w:rPr>
        <w:tab/>
        <w:t xml:space="preserve">Pei, L. &amp; Wallace, D. C. Mitochondrial Etiology of Neuropsychiatric Disorders. </w:t>
      </w:r>
      <w:r w:rsidRPr="00204A5E">
        <w:rPr>
          <w:rFonts w:ascii="Times New Roman" w:hAnsi="Times New Roman" w:cs="Times New Roman"/>
          <w:i/>
          <w:iCs/>
          <w:noProof/>
          <w:lang w:val="en-US"/>
        </w:rPr>
        <w:t>Biol. Psychiatry</w:t>
      </w:r>
      <w:r w:rsidRPr="00204A5E">
        <w:rPr>
          <w:rFonts w:ascii="Times New Roman" w:hAnsi="Times New Roman" w:cs="Times New Roman"/>
          <w:noProof/>
          <w:lang w:val="en-US"/>
        </w:rPr>
        <w:t xml:space="preserve"> </w:t>
      </w:r>
      <w:r w:rsidRPr="00204A5E">
        <w:rPr>
          <w:rFonts w:ascii="Times New Roman" w:hAnsi="Times New Roman" w:cs="Times New Roman"/>
          <w:b/>
          <w:bCs/>
          <w:noProof/>
          <w:lang w:val="en-US"/>
        </w:rPr>
        <w:t>83</w:t>
      </w:r>
      <w:r w:rsidRPr="00204A5E">
        <w:rPr>
          <w:rFonts w:ascii="Times New Roman" w:hAnsi="Times New Roman" w:cs="Times New Roman"/>
          <w:noProof/>
          <w:lang w:val="en-US"/>
        </w:rPr>
        <w:t>, 722–730 (2018).</w:t>
      </w:r>
    </w:p>
    <w:p w14:paraId="591AFD22" w14:textId="77777777" w:rsidR="00204A5E" w:rsidRPr="00204A5E" w:rsidRDefault="00204A5E" w:rsidP="00204A5E">
      <w:pPr>
        <w:widowControl w:val="0"/>
        <w:autoSpaceDE w:val="0"/>
        <w:autoSpaceDN w:val="0"/>
        <w:adjustRightInd w:val="0"/>
        <w:spacing w:before="240" w:after="0" w:line="480" w:lineRule="auto"/>
        <w:ind w:left="640" w:hanging="640"/>
        <w:rPr>
          <w:rFonts w:ascii="Times New Roman" w:hAnsi="Times New Roman" w:cs="Times New Roman"/>
          <w:noProof/>
          <w:lang w:val="en-US"/>
        </w:rPr>
      </w:pPr>
      <w:r w:rsidRPr="00204A5E">
        <w:rPr>
          <w:rFonts w:ascii="Times New Roman" w:hAnsi="Times New Roman" w:cs="Times New Roman"/>
          <w:noProof/>
          <w:lang w:val="en-US"/>
        </w:rPr>
        <w:t>7.</w:t>
      </w:r>
      <w:r w:rsidRPr="00204A5E">
        <w:rPr>
          <w:rFonts w:ascii="Times New Roman" w:hAnsi="Times New Roman" w:cs="Times New Roman"/>
          <w:noProof/>
          <w:lang w:val="en-US"/>
        </w:rPr>
        <w:tab/>
        <w:t xml:space="preserve">Andreazza, A. C. &amp; Nierenberg, A. A. Mitochondrial Dysfunction: At the Core of Psychiatric Disorders? </w:t>
      </w:r>
      <w:r w:rsidRPr="00204A5E">
        <w:rPr>
          <w:rFonts w:ascii="Times New Roman" w:hAnsi="Times New Roman" w:cs="Times New Roman"/>
          <w:i/>
          <w:iCs/>
          <w:noProof/>
          <w:lang w:val="en-US"/>
        </w:rPr>
        <w:t>Biol. Psychiatry</w:t>
      </w:r>
      <w:r w:rsidRPr="00204A5E">
        <w:rPr>
          <w:rFonts w:ascii="Times New Roman" w:hAnsi="Times New Roman" w:cs="Times New Roman"/>
          <w:noProof/>
          <w:lang w:val="en-US"/>
        </w:rPr>
        <w:t xml:space="preserve"> </w:t>
      </w:r>
      <w:r w:rsidRPr="00204A5E">
        <w:rPr>
          <w:rFonts w:ascii="Times New Roman" w:hAnsi="Times New Roman" w:cs="Times New Roman"/>
          <w:b/>
          <w:bCs/>
          <w:noProof/>
          <w:lang w:val="en-US"/>
        </w:rPr>
        <w:t>83</w:t>
      </w:r>
      <w:r w:rsidRPr="00204A5E">
        <w:rPr>
          <w:rFonts w:ascii="Times New Roman" w:hAnsi="Times New Roman" w:cs="Times New Roman"/>
          <w:noProof/>
          <w:lang w:val="en-US"/>
        </w:rPr>
        <w:t>, 718–719 (2018).</w:t>
      </w:r>
    </w:p>
    <w:p w14:paraId="7B6DD9B0" w14:textId="77777777" w:rsidR="00204A5E" w:rsidRPr="00204A5E" w:rsidRDefault="00204A5E" w:rsidP="00204A5E">
      <w:pPr>
        <w:widowControl w:val="0"/>
        <w:autoSpaceDE w:val="0"/>
        <w:autoSpaceDN w:val="0"/>
        <w:adjustRightInd w:val="0"/>
        <w:spacing w:before="240" w:after="0" w:line="480" w:lineRule="auto"/>
        <w:ind w:left="640" w:hanging="640"/>
        <w:rPr>
          <w:rFonts w:ascii="Times New Roman" w:hAnsi="Times New Roman" w:cs="Times New Roman"/>
          <w:noProof/>
        </w:rPr>
      </w:pPr>
      <w:r w:rsidRPr="00204A5E">
        <w:rPr>
          <w:rFonts w:ascii="Times New Roman" w:hAnsi="Times New Roman" w:cs="Times New Roman"/>
          <w:noProof/>
          <w:lang w:val="en-US"/>
        </w:rPr>
        <w:t>8.</w:t>
      </w:r>
      <w:r w:rsidRPr="00204A5E">
        <w:rPr>
          <w:rFonts w:ascii="Times New Roman" w:hAnsi="Times New Roman" w:cs="Times New Roman"/>
          <w:noProof/>
          <w:lang w:val="en-US"/>
        </w:rPr>
        <w:tab/>
        <w:t xml:space="preserve">Wang, Y., Picard, M. &amp; Gu, Z. Genetic Evidence for Elevated Pathogenicity of Mitochondrial DNA Heteroplasmy in Autism Spectrum Disorder. </w:t>
      </w:r>
      <w:r w:rsidRPr="00204A5E">
        <w:rPr>
          <w:rFonts w:ascii="Times New Roman" w:hAnsi="Times New Roman" w:cs="Times New Roman"/>
          <w:i/>
          <w:iCs/>
          <w:noProof/>
          <w:lang w:val="en-US"/>
        </w:rPr>
        <w:t>PLoS Genet.</w:t>
      </w:r>
      <w:r w:rsidRPr="00204A5E">
        <w:rPr>
          <w:rFonts w:ascii="Times New Roman" w:hAnsi="Times New Roman" w:cs="Times New Roman"/>
          <w:noProof/>
          <w:lang w:val="en-US"/>
        </w:rPr>
        <w:t xml:space="preserve"> </w:t>
      </w:r>
      <w:r w:rsidRPr="00204A5E">
        <w:rPr>
          <w:rFonts w:ascii="Times New Roman" w:hAnsi="Times New Roman" w:cs="Times New Roman"/>
          <w:b/>
          <w:bCs/>
          <w:noProof/>
          <w:lang w:val="en-US"/>
        </w:rPr>
        <w:t>12</w:t>
      </w:r>
      <w:r w:rsidRPr="00204A5E">
        <w:rPr>
          <w:rFonts w:ascii="Times New Roman" w:hAnsi="Times New Roman" w:cs="Times New Roman"/>
          <w:noProof/>
          <w:lang w:val="en-US"/>
        </w:rPr>
        <w:t>, 1–24 (2016).</w:t>
      </w:r>
    </w:p>
    <w:p w14:paraId="6ABFD3F1" w14:textId="4603473E" w:rsidR="00204A5E" w:rsidRDefault="00204A5E" w:rsidP="00204A5E">
      <w:pPr>
        <w:pStyle w:val="Abstracttext"/>
      </w:pPr>
      <w:r>
        <w:fldChar w:fldCharType="end"/>
      </w:r>
    </w:p>
    <w:sectPr w:rsidR="00204A5E" w:rsidSect="00D55C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58"/>
    <w:rsid w:val="000A2B58"/>
    <w:rsid w:val="00174979"/>
    <w:rsid w:val="00204A5E"/>
    <w:rsid w:val="003E34B8"/>
    <w:rsid w:val="00BC2A5C"/>
    <w:rsid w:val="00D55CE6"/>
    <w:rsid w:val="00FD0EE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F865"/>
  <w15:chartTrackingRefBased/>
  <w15:docId w15:val="{D7ADADDF-ED0F-7A41-9979-1F62DD2F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zh-CN" w:bidi="ar-SA"/>
      </w:rPr>
    </w:rPrDefault>
    <w:pPrDefault>
      <w:pPr>
        <w:spacing w:before="24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0" w:after="120"/>
      <w:ind w:left="720" w:hanging="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text">
    <w:name w:val="caption text"/>
    <w:basedOn w:val="Normal"/>
    <w:next w:val="Normal"/>
    <w:autoRedefine/>
    <w:qFormat/>
    <w:rsid w:val="003E34B8"/>
    <w:pPr>
      <w:spacing w:after="0"/>
      <w:ind w:left="0" w:firstLine="0"/>
    </w:pPr>
    <w:rPr>
      <w:rFonts w:ascii="Times New Roman" w:eastAsia="Times New Roman" w:hAnsi="Times New Roman" w:cs="Times New Roman"/>
    </w:rPr>
  </w:style>
  <w:style w:type="paragraph" w:styleId="CommentText">
    <w:name w:val="annotation text"/>
    <w:basedOn w:val="Normal"/>
    <w:link w:val="CommentTextChar"/>
    <w:uiPriority w:val="99"/>
    <w:rsid w:val="000A2B58"/>
    <w:pPr>
      <w:spacing w:before="240" w:after="0"/>
      <w:ind w:left="0" w:firstLine="0"/>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0A2B58"/>
    <w:rPr>
      <w:rFonts w:ascii="Times New Roman" w:eastAsia="Times New Roman" w:hAnsi="Times New Roman" w:cs="Times New Roman"/>
    </w:rPr>
  </w:style>
  <w:style w:type="paragraph" w:customStyle="1" w:styleId="Abstracttext">
    <w:name w:val="Abstract text"/>
    <w:basedOn w:val="Normal"/>
    <w:rsid w:val="000A2B58"/>
    <w:pPr>
      <w:spacing w:before="240" w:after="0" w:line="480" w:lineRule="auto"/>
      <w:ind w:left="0" w:firstLine="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A2B58"/>
    <w:rPr>
      <w:sz w:val="16"/>
      <w:szCs w:val="16"/>
    </w:rPr>
  </w:style>
  <w:style w:type="character" w:styleId="Emphasis">
    <w:name w:val="Emphasis"/>
    <w:basedOn w:val="DefaultParagraphFont"/>
    <w:uiPriority w:val="20"/>
    <w:qFormat/>
    <w:rsid w:val="000A2B58"/>
    <w:rPr>
      <w:i/>
      <w:iCs/>
    </w:rPr>
  </w:style>
  <w:style w:type="paragraph" w:styleId="BalloonText">
    <w:name w:val="Balloon Text"/>
    <w:basedOn w:val="Normal"/>
    <w:link w:val="BalloonTextChar"/>
    <w:uiPriority w:val="99"/>
    <w:semiHidden/>
    <w:unhideWhenUsed/>
    <w:rsid w:val="000A2B5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2B5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B888002A67DA488F4BC95B1FB6B055" ma:contentTypeVersion="12" ma:contentTypeDescription="Create a new document." ma:contentTypeScope="" ma:versionID="7095d59fceefa08e22fc2536a504dd0d">
  <xsd:schema xmlns:xsd="http://www.w3.org/2001/XMLSchema" xmlns:xs="http://www.w3.org/2001/XMLSchema" xmlns:p="http://schemas.microsoft.com/office/2006/metadata/properties" xmlns:ns2="f0ec9402-7c6f-4320-b46c-7e918fe11a6a" xmlns:ns3="eeec9a6b-8174-4ce7-87fc-405d5b60239d" targetNamespace="http://schemas.microsoft.com/office/2006/metadata/properties" ma:root="true" ma:fieldsID="f48a622f553c5d1e669b52477a78ea1a" ns2:_="" ns3:_="">
    <xsd:import namespace="f0ec9402-7c6f-4320-b46c-7e918fe11a6a"/>
    <xsd:import namespace="eeec9a6b-8174-4ce7-87fc-405d5b6023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c9402-7c6f-4320-b46c-7e918fe11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ec9a6b-8174-4ce7-87fc-405d5b6023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f33f56-3eb5-4c9e-87e1-686784701cbc}" ma:internalName="TaxCatchAll" ma:showField="CatchAllData" ma:web="eeec9a6b-8174-4ce7-87fc-405d5b6023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ec9a6b-8174-4ce7-87fc-405d5b60239d" xsi:nil="true"/>
    <lcf76f155ced4ddcb4097134ff3c332f xmlns="f0ec9402-7c6f-4320-b46c-7e918fe11a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C2149E-892C-6D42-9F7D-B73B96DA921F}">
  <ds:schemaRefs>
    <ds:schemaRef ds:uri="http://schemas.openxmlformats.org/officeDocument/2006/bibliography"/>
  </ds:schemaRefs>
</ds:datastoreItem>
</file>

<file path=customXml/itemProps2.xml><?xml version="1.0" encoding="utf-8"?>
<ds:datastoreItem xmlns:ds="http://schemas.openxmlformats.org/officeDocument/2006/customXml" ds:itemID="{D05F93F5-5315-4F6F-B203-F338352B686E}"/>
</file>

<file path=customXml/itemProps3.xml><?xml version="1.0" encoding="utf-8"?>
<ds:datastoreItem xmlns:ds="http://schemas.openxmlformats.org/officeDocument/2006/customXml" ds:itemID="{7216B858-B880-4B08-9034-64E0F377A207}"/>
</file>

<file path=customXml/itemProps4.xml><?xml version="1.0" encoding="utf-8"?>
<ds:datastoreItem xmlns:ds="http://schemas.openxmlformats.org/officeDocument/2006/customXml" ds:itemID="{E30897B5-492B-47D4-98EB-7F4A7C26ECC4}"/>
</file>

<file path=docProps/app.xml><?xml version="1.0" encoding="utf-8"?>
<Properties xmlns="http://schemas.openxmlformats.org/officeDocument/2006/extended-properties" xmlns:vt="http://schemas.openxmlformats.org/officeDocument/2006/docPropsVTypes">
  <Template>Normal.dotm</Template>
  <TotalTime>31</TotalTime>
  <Pages>3</Pages>
  <Words>3437</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Geng</dc:creator>
  <cp:keywords/>
  <dc:description/>
  <cp:lastModifiedBy>Melissa Geng</cp:lastModifiedBy>
  <cp:revision>2</cp:revision>
  <dcterms:created xsi:type="dcterms:W3CDTF">2024-12-15T18:32:00Z</dcterms:created>
  <dcterms:modified xsi:type="dcterms:W3CDTF">2024-12-15T19:10:00Z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abd5ece6-e2b3-3681-9d9b-2ce2366507c0</vt:lpwstr>
  </property>
  <property fmtid="{D5CDD505-2E9C-101B-9397-08002B2CF9AE}" pid="24" name="Mendeley Citation Style_1">
    <vt:lpwstr>http://www.zotero.org/styles/nature</vt:lpwstr>
  </property>
  <property fmtid="{D5CDD505-2E9C-101B-9397-08002B2CF9AE}" pid="25" name="ContentTypeId">
    <vt:lpwstr>0x010100BFB888002A67DA488F4BC95B1FB6B055</vt:lpwstr>
  </property>
</Properties>
</file>