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71AE5" w14:textId="77777777" w:rsidR="001347FD" w:rsidRPr="00CD624E" w:rsidRDefault="001347FD" w:rsidP="001347FD">
      <w:pPr>
        <w:pStyle w:val="Abstract"/>
      </w:pPr>
      <w:bookmarkStart w:id="0" w:name="_Toc172096236"/>
      <w:bookmarkStart w:id="1" w:name="_Toc173084167"/>
      <w:bookmarkStart w:id="2" w:name="_Toc182321492"/>
      <w:r w:rsidRPr="00CD624E">
        <w:t>Abstract</w:t>
      </w:r>
      <w:bookmarkEnd w:id="0"/>
      <w:bookmarkEnd w:id="1"/>
      <w:bookmarkEnd w:id="2"/>
    </w:p>
    <w:p w14:paraId="156829F9" w14:textId="240FA965" w:rsidR="00043332" w:rsidRDefault="001347FD" w:rsidP="001347FD">
      <w:r w:rsidRPr="00A56548">
        <w:rPr>
          <w:lang w:val="en-CA"/>
        </w:rPr>
        <w:t>Protein homeostasis is tightly regulated by ubiquitin and ubiquitin-like modification pathways, including neddylation, which control diverse cellular processes</w:t>
      </w:r>
      <w:r>
        <w:rPr>
          <w:lang w:val="en-CA"/>
        </w:rPr>
        <w:t>, and dysregulation</w:t>
      </w:r>
      <w:r>
        <w:t xml:space="preserve"> of these pathways is a hallmark of numerous diseases, including cancers. </w:t>
      </w:r>
      <w:r w:rsidRPr="00A56548">
        <w:rPr>
          <w:lang w:val="en-CA"/>
        </w:rPr>
        <w:t xml:space="preserve">Pharmacological inhibition of ubiquitination and neddylation has emerged as a potential therapeutic strategy, yet the cellular determinants of sensitivity or resistance remain incompletely understood. Using CRISPR-based chemogenomic screens in human retinal pigment epithelial (RPE1) cells, </w:t>
      </w:r>
      <w:r>
        <w:rPr>
          <w:lang w:val="en-CA"/>
        </w:rPr>
        <w:t>I</w:t>
      </w:r>
      <w:r w:rsidRPr="00A56548">
        <w:rPr>
          <w:lang w:val="en-CA"/>
        </w:rPr>
        <w:t xml:space="preserve"> identified the C2H2 zinc finger protein ZNF827 as a critical mediator of cellular responses to inhibitors of ubiquitination (UBA1i) and neddylation (</w:t>
      </w:r>
      <w:proofErr w:type="spellStart"/>
      <w:r w:rsidRPr="00A56548">
        <w:rPr>
          <w:lang w:val="en-CA"/>
        </w:rPr>
        <w:t>NAEi</w:t>
      </w:r>
      <w:proofErr w:type="spellEnd"/>
      <w:r w:rsidRPr="00A56548">
        <w:rPr>
          <w:lang w:val="en-CA"/>
        </w:rPr>
        <w:t xml:space="preserve">). Functional characterization revealed that loss of </w:t>
      </w:r>
      <w:r w:rsidRPr="000D2D2A">
        <w:rPr>
          <w:i/>
          <w:iCs/>
          <w:lang w:val="en-CA"/>
        </w:rPr>
        <w:t>ZNF827</w:t>
      </w:r>
      <w:r w:rsidRPr="00A56548">
        <w:rPr>
          <w:lang w:val="en-CA"/>
        </w:rPr>
        <w:t xml:space="preserve"> confers resistance to these inhibitors</w:t>
      </w:r>
      <w:r>
        <w:rPr>
          <w:lang w:val="en-CA"/>
        </w:rPr>
        <w:t xml:space="preserve"> by</w:t>
      </w:r>
      <w:r w:rsidRPr="00A56548">
        <w:rPr>
          <w:lang w:val="en-CA"/>
        </w:rPr>
        <w:t xml:space="preserve"> attenua</w:t>
      </w:r>
      <w:r>
        <w:rPr>
          <w:lang w:val="en-CA"/>
        </w:rPr>
        <w:t>ting</w:t>
      </w:r>
      <w:r w:rsidRPr="00A56548">
        <w:rPr>
          <w:lang w:val="en-CA"/>
        </w:rPr>
        <w:t xml:space="preserve"> the accumulation of proteins normally targeted for proteasomal degradation, and reduces DNA damage signaling induced by treatment, establishing ZNF827 as a </w:t>
      </w:r>
      <w:r>
        <w:rPr>
          <w:lang w:val="en-CA"/>
        </w:rPr>
        <w:t>determinant</w:t>
      </w:r>
      <w:r w:rsidRPr="00A56548">
        <w:rPr>
          <w:lang w:val="en-CA"/>
        </w:rPr>
        <w:t xml:space="preserve"> of </w:t>
      </w:r>
      <w:r>
        <w:rPr>
          <w:lang w:val="en-CA"/>
        </w:rPr>
        <w:t xml:space="preserve">their </w:t>
      </w:r>
      <w:r w:rsidRPr="00A56548">
        <w:rPr>
          <w:lang w:val="en-CA"/>
        </w:rPr>
        <w:t>cytotoxic responses.</w:t>
      </w:r>
      <w:r>
        <w:rPr>
          <w:lang w:val="en-CA"/>
        </w:rPr>
        <w:t xml:space="preserve"> </w:t>
      </w:r>
      <w:r w:rsidRPr="00A56548">
        <w:rPr>
          <w:lang w:val="en-CA"/>
        </w:rPr>
        <w:t>Mechanistic studies demonstrated that ZNF827 influences cell cycle progression and interacts genetically with chromatin-modifying complexes, particularly the SAGA complex, highlighting its role in chromatin regulation during protein degradation inhibition. Consistent with this</w:t>
      </w:r>
      <w:r>
        <w:rPr>
          <w:lang w:val="en-CA"/>
        </w:rPr>
        <w:t xml:space="preserve"> possibility</w:t>
      </w:r>
      <w:r w:rsidRPr="00A56548">
        <w:rPr>
          <w:lang w:val="en-CA"/>
        </w:rPr>
        <w:t xml:space="preserve">, ATAC-seq profiling revealed that </w:t>
      </w:r>
      <w:r w:rsidRPr="00A56548">
        <w:rPr>
          <w:i/>
          <w:iCs/>
          <w:lang w:val="en-CA"/>
        </w:rPr>
        <w:t>ZNF827</w:t>
      </w:r>
      <w:r w:rsidRPr="00A56548">
        <w:rPr>
          <w:lang w:val="en-CA"/>
        </w:rPr>
        <w:t xml:space="preserve"> loss leads to globally increased chromatin accessibility. Structure-function analys</w:t>
      </w:r>
      <w:r>
        <w:rPr>
          <w:lang w:val="en-CA"/>
        </w:rPr>
        <w:t>i</w:t>
      </w:r>
      <w:r w:rsidRPr="00A56548">
        <w:rPr>
          <w:lang w:val="en-CA"/>
        </w:rPr>
        <w:t xml:space="preserve">s further identified the domains of ZNF827 necessary for mediating sensitivity to neddylation inhibition, providing insight into its </w:t>
      </w:r>
      <w:r>
        <w:rPr>
          <w:lang w:val="en-CA"/>
        </w:rPr>
        <w:t>function</w:t>
      </w:r>
      <w:r w:rsidRPr="00A56548">
        <w:rPr>
          <w:lang w:val="en-CA"/>
        </w:rPr>
        <w:t>.</w:t>
      </w:r>
      <w:r>
        <w:rPr>
          <w:lang w:val="en-CA"/>
        </w:rPr>
        <w:t xml:space="preserve"> </w:t>
      </w:r>
      <w:r w:rsidRPr="00A56548">
        <w:rPr>
          <w:lang w:val="en-CA"/>
        </w:rPr>
        <w:t>Leveraging ZNF827 as an immunomodulatory imide drug (</w:t>
      </w:r>
      <w:proofErr w:type="spellStart"/>
      <w:r w:rsidRPr="00A56548">
        <w:rPr>
          <w:lang w:val="en-CA"/>
        </w:rPr>
        <w:t>IMiD</w:t>
      </w:r>
      <w:proofErr w:type="spellEnd"/>
      <w:r w:rsidRPr="00A56548">
        <w:rPr>
          <w:lang w:val="en-CA"/>
        </w:rPr>
        <w:t xml:space="preserve">) </w:t>
      </w:r>
      <w:proofErr w:type="spellStart"/>
      <w:r w:rsidRPr="00A56548">
        <w:rPr>
          <w:lang w:val="en-CA"/>
        </w:rPr>
        <w:t>neosubstrate</w:t>
      </w:r>
      <w:proofErr w:type="spellEnd"/>
      <w:r w:rsidRPr="00A56548">
        <w:rPr>
          <w:lang w:val="en-CA"/>
        </w:rPr>
        <w:t xml:space="preserve">, a luminescence-based screen of an </w:t>
      </w:r>
      <w:proofErr w:type="spellStart"/>
      <w:r w:rsidRPr="00A56548">
        <w:rPr>
          <w:lang w:val="en-CA"/>
        </w:rPr>
        <w:t>IMiD</w:t>
      </w:r>
      <w:proofErr w:type="spellEnd"/>
      <w:r w:rsidRPr="00A56548">
        <w:rPr>
          <w:lang w:val="en-CA"/>
        </w:rPr>
        <w:t xml:space="preserve"> derivative library identified selective compounds that induce </w:t>
      </w:r>
      <w:r>
        <w:rPr>
          <w:lang w:val="en-CA"/>
        </w:rPr>
        <w:t xml:space="preserve">its selective </w:t>
      </w:r>
      <w:r w:rsidRPr="00A56548">
        <w:rPr>
          <w:lang w:val="en-CA"/>
        </w:rPr>
        <w:t>degradation. These</w:t>
      </w:r>
      <w:r>
        <w:rPr>
          <w:lang w:val="en-CA"/>
        </w:rPr>
        <w:t xml:space="preserve"> molecular glue</w:t>
      </w:r>
      <w:r w:rsidRPr="00A56548">
        <w:rPr>
          <w:lang w:val="en-CA"/>
        </w:rPr>
        <w:t xml:space="preserve"> degraders </w:t>
      </w:r>
      <w:r>
        <w:rPr>
          <w:lang w:val="en-CA"/>
        </w:rPr>
        <w:t xml:space="preserve">can </w:t>
      </w:r>
      <w:r w:rsidRPr="00A56548">
        <w:rPr>
          <w:lang w:val="en-CA"/>
        </w:rPr>
        <w:t xml:space="preserve">serve as chemical tools to acutely probe ZNF827 biology, offering opportunities to dissect the molecular determinants of substrate engagement and inform the rational design of </w:t>
      </w:r>
      <w:r>
        <w:rPr>
          <w:lang w:val="en-CA"/>
        </w:rPr>
        <w:t xml:space="preserve">the </w:t>
      </w:r>
      <w:r w:rsidRPr="00A56548">
        <w:rPr>
          <w:lang w:val="en-CA"/>
        </w:rPr>
        <w:t xml:space="preserve">next generation </w:t>
      </w:r>
      <w:r>
        <w:rPr>
          <w:lang w:val="en-CA"/>
        </w:rPr>
        <w:t xml:space="preserve">of </w:t>
      </w:r>
      <w:proofErr w:type="spellStart"/>
      <w:r w:rsidRPr="00A56548">
        <w:rPr>
          <w:lang w:val="en-CA"/>
        </w:rPr>
        <w:t>IMiDs</w:t>
      </w:r>
      <w:proofErr w:type="spellEnd"/>
      <w:r w:rsidRPr="00A56548">
        <w:rPr>
          <w:lang w:val="en-CA"/>
        </w:rPr>
        <w:t>.</w:t>
      </w:r>
      <w:r>
        <w:rPr>
          <w:lang w:val="en-CA"/>
        </w:rPr>
        <w:t xml:space="preserve"> Overall</w:t>
      </w:r>
      <w:r w:rsidRPr="00A56548">
        <w:rPr>
          <w:lang w:val="en-CA"/>
        </w:rPr>
        <w:t xml:space="preserve">, this work establishes ZNF827 as a previously unrecognized regulator of cellular responses to ubiquitin-dependent protein degradation inhibition, linking chromatin organization to </w:t>
      </w:r>
      <w:proofErr w:type="spellStart"/>
      <w:r w:rsidRPr="00A56548">
        <w:rPr>
          <w:lang w:val="en-CA"/>
        </w:rPr>
        <w:t>proteostasis</w:t>
      </w:r>
      <w:proofErr w:type="spellEnd"/>
      <w:r w:rsidRPr="00A56548">
        <w:rPr>
          <w:lang w:val="en-CA"/>
        </w:rPr>
        <w:t xml:space="preserve">. The findings provide mechanistic insight into the cytotoxicity of NAE and UBA1 inhibitors, expand our understanding of </w:t>
      </w:r>
      <w:r>
        <w:rPr>
          <w:lang w:val="en-CA"/>
        </w:rPr>
        <w:t>ZNF827 roles in the cells</w:t>
      </w:r>
      <w:r w:rsidRPr="00A56548">
        <w:rPr>
          <w:lang w:val="en-CA"/>
        </w:rPr>
        <w:t xml:space="preserve">, and </w:t>
      </w:r>
      <w:r w:rsidRPr="00A079AE">
        <w:rPr>
          <w:lang w:val="en-CA"/>
        </w:rPr>
        <w:t xml:space="preserve">provide a model system to explore the molecular features driving selective </w:t>
      </w:r>
      <w:proofErr w:type="spellStart"/>
      <w:r w:rsidRPr="00A079AE">
        <w:rPr>
          <w:lang w:val="en-CA"/>
        </w:rPr>
        <w:t>neosubstrate</w:t>
      </w:r>
      <w:proofErr w:type="spellEnd"/>
      <w:r w:rsidRPr="00A079AE">
        <w:rPr>
          <w:lang w:val="en-CA"/>
        </w:rPr>
        <w:t xml:space="preserve"> </w:t>
      </w:r>
      <w:r>
        <w:rPr>
          <w:lang w:val="en-CA"/>
        </w:rPr>
        <w:t xml:space="preserve">engagement by </w:t>
      </w:r>
      <w:proofErr w:type="spellStart"/>
      <w:r>
        <w:rPr>
          <w:lang w:val="en-CA"/>
        </w:rPr>
        <w:t>IMiD</w:t>
      </w:r>
      <w:proofErr w:type="spellEnd"/>
      <w:r>
        <w:rPr>
          <w:lang w:val="en-CA"/>
        </w:rPr>
        <w:t xml:space="preserve"> compounds, </w:t>
      </w:r>
      <w:r w:rsidRPr="00A079AE">
        <w:rPr>
          <w:lang w:val="en-CA"/>
        </w:rPr>
        <w:t xml:space="preserve">informing future rational design of targeted protein </w:t>
      </w:r>
      <w:r>
        <w:rPr>
          <w:lang w:val="en-CA"/>
        </w:rPr>
        <w:t>degraders</w:t>
      </w:r>
      <w:r w:rsidRPr="00A56548">
        <w:rPr>
          <w:lang w:val="en-CA"/>
        </w:rPr>
        <w:t>.</w:t>
      </w:r>
    </w:p>
    <w:sectPr w:rsidR="00043332" w:rsidSect="000B0B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FD"/>
    <w:rsid w:val="00022FBF"/>
    <w:rsid w:val="00043332"/>
    <w:rsid w:val="00061850"/>
    <w:rsid w:val="000B0B49"/>
    <w:rsid w:val="001347FD"/>
    <w:rsid w:val="00291617"/>
    <w:rsid w:val="004B382B"/>
    <w:rsid w:val="007F07F0"/>
    <w:rsid w:val="00CC2E74"/>
    <w:rsid w:val="00EC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9AB4EF"/>
  <w15:chartTrackingRefBased/>
  <w15:docId w15:val="{CBE4AB72-DFC7-FA4A-8B7F-7D4F64E4E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7FD"/>
    <w:pPr>
      <w:spacing w:before="240" w:after="0" w:line="360" w:lineRule="auto"/>
    </w:pPr>
    <w:rPr>
      <w:rFonts w:ascii="Times New Roman" w:eastAsia="Times New Roman" w:hAnsi="Times New Roman" w:cs="Times New Roman"/>
      <w:kern w:val="0"/>
      <w:szCs w:val="20"/>
      <w:lang w:val="en-US" w:eastAsia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47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47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7F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7F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CA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7F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CA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7F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CA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7F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CA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7FD"/>
    <w:pPr>
      <w:keepNext/>
      <w:keepLines/>
      <w:spacing w:before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CA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7FD"/>
    <w:pPr>
      <w:keepNext/>
      <w:keepLines/>
      <w:spacing w:before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CA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7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7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7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7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7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7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7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7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7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47FD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34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7FD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34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47F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CA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347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47FD"/>
    <w:pPr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en-CA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347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7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CA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7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47FD"/>
    <w:rPr>
      <w:b/>
      <w:bCs/>
      <w:smallCaps/>
      <w:color w:val="0F4761" w:themeColor="accent1" w:themeShade="BF"/>
      <w:spacing w:val="5"/>
    </w:rPr>
  </w:style>
  <w:style w:type="paragraph" w:customStyle="1" w:styleId="Abstract">
    <w:name w:val="Abstract"/>
    <w:basedOn w:val="Normal"/>
    <w:next w:val="Normal"/>
    <w:rsid w:val="001347FD"/>
    <w:rPr>
      <w:rFonts w:ascii="Arial" w:hAnsi="Arial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31E666CA734842B5ABDCD10F8D38C6" ma:contentTypeVersion="15" ma:contentTypeDescription="Create a new document." ma:contentTypeScope="" ma:versionID="7f44ad6840c90e81f4611b090bffe98a">
  <xsd:schema xmlns:xsd="http://www.w3.org/2001/XMLSchema" xmlns:xs="http://www.w3.org/2001/XMLSchema" xmlns:p="http://schemas.microsoft.com/office/2006/metadata/properties" xmlns:ns2="50c325d0-ab11-42d5-a225-192fbb7cd2b4" xmlns:ns3="bf848f1c-8901-4efb-b67f-d907a1aec365" targetNamespace="http://schemas.microsoft.com/office/2006/metadata/properties" ma:root="true" ma:fieldsID="37c8c8c19e9c166e9696d1d3661615df" ns2:_="" ns3:_="">
    <xsd:import namespace="50c325d0-ab11-42d5-a225-192fbb7cd2b4"/>
    <xsd:import namespace="bf848f1c-8901-4efb-b67f-d907a1aec36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325d0-ab11-42d5-a225-192fbb7cd2b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48f1c-8901-4efb-b67f-d907a1aec36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42b21c4-db2e-4944-bafd-f8ab76150fbc}" ma:internalName="TaxCatchAll" ma:showField="CatchAllData" ma:web="bf848f1c-8901-4efb-b67f-d907a1aec3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848f1c-8901-4efb-b67f-d907a1aec365" xsi:nil="true"/>
    <lcf76f155ced4ddcb4097134ff3c332f xmlns="50c325d0-ab11-42d5-a225-192fbb7cd2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274A15-C627-4B84-8B78-1D2721195CF2}"/>
</file>

<file path=customXml/itemProps2.xml><?xml version="1.0" encoding="utf-8"?>
<ds:datastoreItem xmlns:ds="http://schemas.openxmlformats.org/officeDocument/2006/customXml" ds:itemID="{0B0571E2-3538-4124-B1C6-CBA69596A5F5}"/>
</file>

<file path=customXml/itemProps3.xml><?xml version="1.0" encoding="utf-8"?>
<ds:datastoreItem xmlns:ds="http://schemas.openxmlformats.org/officeDocument/2006/customXml" ds:itemID="{A987E41D-6114-4507-AD28-604162C24D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2180</Characters>
  <Application>Microsoft Office Word</Application>
  <DocSecurity>0</DocSecurity>
  <Lines>32</Lines>
  <Paragraphs>7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Graziana Pastore</dc:creator>
  <cp:keywords/>
  <dc:description/>
  <cp:lastModifiedBy>Graziana Pastore</cp:lastModifiedBy>
  <cp:revision>1</cp:revision>
  <dcterms:created xsi:type="dcterms:W3CDTF">2026-05-08T01:31:00Z</dcterms:created>
  <dcterms:modified xsi:type="dcterms:W3CDTF">2026-05-08T01:31:00Z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0x010100AE31E666CA734842B5ABDCD10F8D38C6</vt:lpwstr>
  </property>
</Properties>
</file>