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package.relationships+xml" PartName="/word/_rels/fontTable.xml.rels"/>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obfuscatedFont" PartName="/word/fonts/font10.odttf"/>
  <Override ContentType="application/vnd.openxmlformats-officedocument.obfuscatedFont" PartName="/word/fonts/font11.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body>
    <w:p>
      <w:pPr>
        <w:pStyle w:val="Title"/>
        <w:spacing w:after="80" w:before="240"/>
        <w:contextualSpacing/>
        <w:rPr>
          <w:rFonts w:ascii="Arial" w:cs="Arial" w:hAnsi="Arial"/>
        </w:rPr>
      </w:pPr>
      <w:r>
        <w:rPr/>
        <w:t xml:space="preserve">MGY460H1 </w:t>
      </w:r>
      <w:r>
        <w:rPr>
          <w:rFonts w:cs="Arial"/>
        </w:rPr>
        <w:t>F</w:t>
      </w:r>
    </w:p>
    <w:p>
      <w:pPr>
        <w:pStyle w:val="Subtitle"/>
        <w:rPr/>
      </w:pPr>
      <w:r>
        <w:rPr/>
        <w:t>Genetic Analysis of Development</w:t>
      </w:r>
    </w:p>
    <w:p>
      <w:pPr>
        <w:pStyle w:val="Normal"/>
        <w:rPr/>
      </w:pPr>
      <w:r>
        <w:rPr>
          <w:rStyle w:val="SubtitleChar"/>
          <w:bCs/>
          <w:color w:val="auto"/>
        </w:rPr>
        <w:t>Fall 2024</w:t>
      </w:r>
      <w:r>
        <w:rPr>
          <w:rStyle w:val="SubtitleChar"/>
          <w:rFonts w:cs="Arial"/>
          <w:bCs/>
          <w:color w:val="auto"/>
        </w:rPr>
        <w:t xml:space="preserve"> Syllabus</w:t>
      </w:r>
    </w:p>
    <w:p>
      <w:pPr>
        <w:pStyle w:val="Heading2"/>
        <w:rPr/>
      </w:pPr>
      <w:r>
        <w:rPr/>
        <w:t>Course Meetings</w:t>
      </w:r>
    </w:p>
    <w:p>
      <w:pPr>
        <w:pStyle w:val="Heading3"/>
        <w:spacing w:after="120" w:before="0"/>
        <w:rPr>
          <w:szCs w:val="24"/>
        </w:rPr>
      </w:pPr>
      <w:r>
        <w:rPr>
          <w:szCs w:val="24"/>
        </w:rPr>
        <w:t>MGY460H1 F</w:t>
      </w:r>
    </w:p>
    <w:tbl>
      <w:tblPr>
        <w:tblW w:type="pct" w:w="5000"/>
        <w:jc w:val="left"/>
        <w:tblInd w:type="dxa" w:w="-5"/>
        <w:tblLayout w:type="fixed"/>
        <w:tblCellMar>
          <w:top w:type="dxa" w:w="0"/>
          <w:left w:type="dxa" w:w="108"/>
          <w:bottom w:type="dxa" w:w="0"/>
          <w:right w:type="dxa" w:w="108"/>
        </w:tblCellMar>
      </w:tblPr>
      <w:tblGrid>
        <w:gridCol w:w="1402"/>
        <w:gridCol w:w="3932"/>
        <w:gridCol w:w="4026"/>
      </w:tblGrid>
      <w:tr>
        <w:trPr>
          <w:tblHeader w:val="true"/>
          <w:trHeight w:hRule="atLeast" w:val="20"/>
          <w:cantSplit w:val="true"/>
        </w:trPr>
        <w:tc>
          <w:tcPr>
            <w:tcW w:type="dxa" w:w="1402"/>
            <w:tcBorders>
              <w:top w:color="BFBFBF" w:space="0" w:sz="4" w:val="single"/>
              <w:left w:color="BFBFBF" w:space="0" w:sz="4" w:val="single"/>
              <w:bottom w:color="BFBFBF" w:space="0" w:sz="4" w:val="single"/>
              <w:right w:color="BFBFBF" w:space="0" w:sz="4" w:val="single"/>
            </w:tcBorders>
          </w:tcPr>
          <w:p>
            <w:pPr>
              <w:pStyle w:val="Normal"/>
              <w:widowControl w:val="false"/>
              <w:tabs>
                <w:tab w:pos="720" w:val="clear"/>
                <w:tab w:leader="none" w:pos="2052" w:val="right"/>
              </w:tabs>
              <w:spacing w:after="0" w:before="0" w:line="240" w:lineRule="auto"/>
              <w:rPr>
                <w:rFonts w:ascii="Arial" w:cs="Arial" w:eastAsia="Arial" w:hAnsi="Arial"/>
                <w:b/>
                <w:bCs/>
              </w:rPr>
            </w:pPr>
            <w:r>
              <w:rPr>
                <w:rFonts w:cs="Arial" w:eastAsia="Arial"/>
                <w:b/>
                <w:bCs/>
              </w:rPr>
              <w:t>Section</w:t>
            </w:r>
          </w:p>
        </w:tc>
        <w:tc>
          <w:tcPr>
            <w:tcW w:type="dxa" w:w="3932"/>
            <w:tcBorders>
              <w:top w:color="BFBFBF" w:space="0" w:sz="4" w:val="single"/>
              <w:left w:color="BFBFBF" w:space="0" w:sz="4" w:val="single"/>
              <w:bottom w:color="BFBFBF" w:space="0" w:sz="4" w:val="single"/>
              <w:right w:color="BFBFBF" w:space="0" w:sz="4" w:val="single"/>
            </w:tcBorders>
          </w:tcPr>
          <w:p>
            <w:pPr>
              <w:pStyle w:val="Normal"/>
              <w:widowControl w:val="false"/>
              <w:spacing w:after="0" w:before="0" w:line="240" w:lineRule="auto"/>
              <w:rPr>
                <w:rFonts w:ascii="Arial" w:cs="Arial" w:eastAsia="Arial" w:hAnsi="Arial"/>
                <w:b/>
                <w:bCs/>
              </w:rPr>
            </w:pPr>
            <w:r>
              <w:rPr>
                <w:rFonts w:cs="Arial" w:eastAsia="Arial"/>
                <w:b/>
                <w:bCs/>
              </w:rPr>
              <w:t>Day &amp; Time</w:t>
            </w:r>
          </w:p>
        </w:tc>
        <w:tc>
          <w:tcPr>
            <w:tcW w:type="dxa" w:w="4026"/>
            <w:tcBorders>
              <w:top w:color="BFBFBF" w:space="0" w:sz="4" w:val="single"/>
              <w:left w:color="BFBFBF" w:space="0" w:sz="4" w:val="single"/>
              <w:bottom w:color="BFBFBF" w:space="0" w:sz="4" w:val="single"/>
              <w:right w:color="BFBFBF" w:space="0" w:sz="4" w:val="single"/>
            </w:tcBorders>
          </w:tcPr>
          <w:p>
            <w:pPr>
              <w:pStyle w:val="Normal"/>
              <w:widowControl w:val="false"/>
              <w:spacing w:after="0" w:before="0" w:line="240" w:lineRule="auto"/>
              <w:rPr>
                <w:rFonts w:ascii="Arial" w:cs="Arial" w:eastAsia="Arial" w:hAnsi="Arial"/>
                <w:b/>
                <w:bCs/>
              </w:rPr>
            </w:pPr>
            <w:r>
              <w:rPr>
                <w:rFonts w:cs="Arial" w:eastAsia="Arial"/>
                <w:b/>
                <w:bCs/>
              </w:rPr>
              <w:t>Delivery Mode &amp; Location</w:t>
            </w:r>
          </w:p>
        </w:tc>
      </w:tr>
      <w:tr>
        <w:trPr>
          <w:trHeight w:hRule="atLeast" w:val="274"/>
          <w:cantSplit w:val="true"/>
        </w:trPr>
        <w:tc>
          <w:tcPr>
            <w:tcW w:type="dxa" w:w="1402"/>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rStyle w:val="StrongEmphasis"/>
              </w:rPr>
              <w:t>LEC0101</w:t>
            </w:r>
          </w:p>
        </w:tc>
        <w:tc>
          <w:tcPr>
            <w:tcW w:type="dxa" w:w="3932"/>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t>Monday, 3:00 PM - 4:00 PM</w:t>
              <w:br/>
              <w:t>Wednesday, 3:00 PM - 4:00 PM</w:t>
            </w:r>
          </w:p>
        </w:tc>
        <w:tc>
          <w:tcPr>
            <w:tcW w:type="dxa" w:w="4026"/>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t>In Person: MS 3278</w:t>
              <w:br/>
              <w:t>In Person: MS 3278</w:t>
            </w:r>
          </w:p>
        </w:tc>
      </w:tr>
    </w:tbl>
    <w:p>
      <w:pPr>
        <w:pStyle w:val="Normal"/>
        <w:spacing w:after="0" w:before="0"/>
        <w:rPr>
          <w:rFonts w:ascii="Arial" w:cs="Arial" w:hAnsi="Arial"/>
          <w:color w:val="000000"/>
          <w:shd w:fill="FFFFFF" w:val="clear"/>
        </w:rPr>
      </w:pPr>
      <w:r>
        <w:rPr>
          <w:rFonts w:cs="Arial"/>
          <w:color w:val="000000"/>
          <w:shd w:fill="FFFFFF" w:val="clear"/>
        </w:rPr>
        <w:t>Refer to ACORN for the most up-to-date information about the location of the course meetings.</w:t>
      </w:r>
    </w:p>
    <w:p>
      <w:pPr>
        <w:pStyle w:val="Normal"/>
        <w:spacing w:after="0" w:before="0"/>
        <w:rPr>
          <w:rFonts w:ascii="Arial" w:cs="Arial" w:hAnsi="Arial"/>
          <w:color w:val="000000"/>
          <w:shd w:fill="FFFFFF" w:val="clear"/>
        </w:rPr>
      </w:pPr>
      <w:r>
        <w:rPr>
          <w:rFonts w:cs="Arial"/>
          <w:color w:val="000000"/>
          <w:shd w:fill="FFFFFF" w:val="clear"/>
        </w:rPr>
      </w:r>
    </w:p>
    <w:p>
      <w:pPr>
        <w:pStyle w:val="Heading2"/>
        <w:rPr/>
      </w:pPr>
      <w:r>
        <w:rPr/>
        <w:t>Course Contacts</w:t>
      </w:r>
    </w:p>
    <w:p>
      <w:pPr>
        <w:pStyle w:val="Normal"/>
        <w:spacing w:after="0" w:before="0"/>
        <w:rPr/>
      </w:pPr>
      <w:r>
        <w:rPr>
          <w:rFonts w:cs="Arial"/>
          <w:b/>
        </w:rPr>
        <w:t xml:space="preserve">Coordinator: </w:t>
      </w:r>
      <w:r>
        <w:rPr>
          <w:rFonts w:cs="Arial"/>
        </w:rPr>
        <w:t>Dr. Henry Krause</w:t>
      </w:r>
    </w:p>
    <w:p>
      <w:pPr>
        <w:pStyle w:val="Normal"/>
        <w:spacing w:after="0" w:before="0"/>
        <w:rPr/>
      </w:pPr>
      <w:r>
        <w:rPr>
          <w:rFonts w:cs="Arial"/>
          <w:b/>
        </w:rPr>
        <w:t>Email:</w:t>
      </w:r>
      <w:r>
        <w:rPr>
          <w:rFonts w:cs="Arial"/>
        </w:rPr>
        <w:t xml:space="preserve"> </w:t>
      </w:r>
      <w:hyperlink r:id="rId2">
        <w:r>
          <w:rPr>
            <w:rStyle w:val="InternetLink"/>
            <w:rFonts w:cs="Arial"/>
            <w:color w:val="00B0F0"/>
            <w:u w:val="single"/>
          </w:rPr>
          <w:t>h.krause@utoronto.ca</w:t>
        </w:r>
      </w:hyperlink>
    </w:p>
    <w:p>
      <w:pPr>
        <w:pStyle w:val="Normal"/>
        <w:spacing w:after="0" w:before="0"/>
        <w:rPr>
          <w:rFonts w:cs="Arial"/>
          <w:sz w:val="16"/>
          <w:szCs w:val="16"/>
        </w:rPr>
      </w:pPr>
      <w:r>
        <w:rPr>
          <w:rFonts w:cs="Arial"/>
          <w:sz w:val="16"/>
          <w:szCs w:val="16"/>
        </w:rPr>
      </w:r>
    </w:p>
    <w:p>
      <w:pPr>
        <w:pStyle w:val="Normal"/>
        <w:spacing w:after="0" w:before="0"/>
        <w:rPr/>
      </w:pPr>
      <w:r>
        <w:rPr>
          <w:rFonts w:cs="Arial"/>
          <w:b/>
        </w:rPr>
        <w:t xml:space="preserve">Instructor: </w:t>
      </w:r>
      <w:r>
        <w:rPr>
          <w:rFonts w:cs="Arial"/>
        </w:rPr>
        <w:t>Dr. Stephanie Protze</w:t>
      </w:r>
    </w:p>
    <w:p>
      <w:pPr>
        <w:pStyle w:val="Normal"/>
        <w:spacing w:after="0" w:before="0"/>
        <w:rPr/>
      </w:pPr>
      <w:r>
        <w:rPr>
          <w:rFonts w:cs="Arial"/>
          <w:b/>
        </w:rPr>
        <w:t>Email:</w:t>
      </w:r>
      <w:r>
        <w:rPr>
          <w:rFonts w:cs="Arial"/>
        </w:rPr>
        <w:t xml:space="preserve"> </w:t>
      </w:r>
      <w:hyperlink r:id="rId3">
        <w:r>
          <w:rPr>
            <w:rStyle w:val="InternetLink"/>
            <w:rFonts w:cs="Arial"/>
            <w:color w:val="00B0F0"/>
            <w:u w:val="single"/>
          </w:rPr>
          <w:t>Stephanie.Protze@uhnresearch.ca</w:t>
        </w:r>
      </w:hyperlink>
    </w:p>
    <w:p>
      <w:pPr>
        <w:pStyle w:val="Normal"/>
        <w:spacing w:after="0" w:before="0"/>
        <w:rPr>
          <w:rFonts w:cs="Arial"/>
          <w:sz w:val="16"/>
          <w:szCs w:val="16"/>
        </w:rPr>
      </w:pPr>
      <w:r>
        <w:rPr>
          <w:rFonts w:cs="Arial"/>
          <w:sz w:val="16"/>
          <w:szCs w:val="16"/>
        </w:rPr>
      </w:r>
    </w:p>
    <w:p>
      <w:pPr>
        <w:pStyle w:val="Normal"/>
        <w:spacing w:after="0" w:before="0"/>
        <w:rPr/>
      </w:pPr>
      <w:r>
        <w:rPr>
          <w:rFonts w:cs="Arial"/>
          <w:b/>
        </w:rPr>
        <w:t xml:space="preserve">Instructor: </w:t>
      </w:r>
      <w:r>
        <w:rPr>
          <w:rFonts w:cs="Arial"/>
        </w:rPr>
        <w:t>Dr. Mei Zhen</w:t>
      </w:r>
    </w:p>
    <w:p>
      <w:pPr>
        <w:pStyle w:val="Normal"/>
        <w:spacing w:after="0" w:before="0"/>
        <w:rPr/>
      </w:pPr>
      <w:r>
        <w:rPr>
          <w:rFonts w:cs="Arial"/>
          <w:b/>
        </w:rPr>
        <w:t>Email:</w:t>
      </w:r>
      <w:r>
        <w:rPr>
          <w:rFonts w:cs="Arial"/>
        </w:rPr>
        <w:t xml:space="preserve"> </w:t>
      </w:r>
      <w:hyperlink r:id="rId4">
        <w:r>
          <w:rPr>
            <w:rStyle w:val="InternetLink"/>
            <w:rFonts w:cs="Arial"/>
            <w:color w:val="00B0F0"/>
            <w:u w:val="single"/>
          </w:rPr>
          <w:t>meizhen@lunenfeld.ca</w:t>
        </w:r>
      </w:hyperlink>
    </w:p>
    <w:p>
      <w:pPr>
        <w:pStyle w:val="Normal"/>
        <w:spacing w:after="0" w:before="0"/>
        <w:rPr>
          <w:rFonts w:cs="Arial"/>
          <w:sz w:val="16"/>
          <w:szCs w:val="16"/>
        </w:rPr>
      </w:pPr>
      <w:r>
        <w:rPr>
          <w:rFonts w:cs="Arial"/>
          <w:sz w:val="16"/>
          <w:szCs w:val="16"/>
        </w:rPr>
      </w:r>
    </w:p>
    <w:p>
      <w:pPr>
        <w:pStyle w:val="Heading2"/>
        <w:spacing w:after="360" w:before="240"/>
        <w:rPr>
          <w:rFonts w:eastAsia="Arial"/>
          <w:bCs/>
          <w:color w:val="262626"/>
          <w:sz w:val="32"/>
        </w:rPr>
      </w:pPr>
      <w:r>
        <w:rPr/>
        <w:t>Course Overview</w:t>
      </w:r>
    </w:p>
    <w:p>
      <w:pPr>
        <w:pStyle w:val="TextBody"/>
        <w:rPr/>
      </w:pPr>
      <w:r>
        <w:rPr/>
        <w:t>Basic and advanced principles of genetic analysis applied to the study of the best-understood eukaryotic model organisms including the nematode worm Caenorhabditis elegans, the zebrafish, and the laboratory mouse. We emphasize the use of genetic approaches to address problems in cell biology and development, such as the regulation of cell fate and tissue development. Much of the knowledge gained from these experimentally tractable organisms has proven broadly applicable, and the same principles of developmental genetic analysis underlie efforts to understand the development of humans.</w:t>
      </w:r>
    </w:p>
    <w:p>
      <w:pPr>
        <w:pStyle w:val="TextBody"/>
        <w:rPr/>
      </w:pPr>
      <w:r>
        <w:rPr/>
        <w:t>The path from a single cell to a complex organism requires a highly regulated sequence of genetic and molecular events that encompass all known cellular and intercellular pathways and processes. Although there are many fail-safes to ensure that these processes occur accurately and reproducibly, when they do fail, major developmental defects occur. This course will provide insight into these steps and pathways, how they are coordinated and how they compare in organisms that range from simple worms to humans. It will also cover past and current genetic and molecular methodologies that have and are being used in the major model organisms that are being used to understand these processes.</w:t>
      </w:r>
    </w:p>
    <w:p>
      <w:pPr>
        <w:pStyle w:val="Heading3"/>
        <w:spacing w:after="0" w:before="0"/>
        <w:rPr/>
      </w:pPr>
      <w:r>
        <w:rPr/>
        <w:t>Course Learning Outcomes</w:t>
      </w:r>
    </w:p>
    <w:p>
      <w:pPr>
        <w:pStyle w:val="TextBody"/>
        <w:rPr/>
      </w:pPr>
      <w:r>
        <w:rPr/>
        <w:t>Our objective is to provide students with an appreciation of the intricacies that underlie the amazingly reproducible patterning of a complex organism, and an ability to read and understand, not only the most recent research papers involving these model organisms, but also the classics. Students will also be able to appreciate current issues and areas of focus, as well to design effective approaches that can provide new answers.</w:t>
      </w:r>
    </w:p>
    <w:p>
      <w:pPr>
        <w:pStyle w:val="Normal"/>
        <w:spacing w:after="0" w:before="0"/>
        <w:rPr/>
      </w:pPr>
      <w:r>
        <w:rPr>
          <w:rFonts w:cs="Arial" w:eastAsia="Arial"/>
          <w:b/>
          <w:bCs/>
          <w:color w:val="000000"/>
        </w:rPr>
        <w:t>Prerequisites</w:t>
      </w:r>
      <w:r>
        <w:rPr>
          <w:rFonts w:cs="Arial" w:eastAsia="Calibri"/>
          <w:color w:val="000000"/>
        </w:rPr>
        <w:t xml:space="preserve">: </w:t>
      </w:r>
      <w:r>
        <w:rPr/>
        <w:t>BIO260H1/HMB265H1, MGY311Y1/CSB349H1/BCH311H1</w:t>
      </w:r>
    </w:p>
    <w:p>
      <w:pPr>
        <w:pStyle w:val="Normal"/>
        <w:spacing w:after="0" w:before="0"/>
        <w:rPr/>
      </w:pPr>
      <w:r>
        <w:rPr>
          <w:rFonts w:cs="Arial" w:eastAsia="Arial"/>
          <w:b/>
          <w:bCs/>
          <w:color w:val="000000"/>
        </w:rPr>
        <w:t>Corequisites</w:t>
      </w:r>
      <w:r>
        <w:rPr>
          <w:rFonts w:cs="Arial" w:eastAsia="Calibri"/>
          <w:color w:val="000000"/>
        </w:rPr>
        <w:t xml:space="preserve">: </w:t>
      </w:r>
      <w:r>
        <w:rPr/>
        <w:t>None</w:t>
      </w:r>
    </w:p>
    <w:p>
      <w:pPr>
        <w:pStyle w:val="Normal"/>
        <w:spacing w:after="0" w:before="0"/>
        <w:rPr/>
      </w:pPr>
      <w:r>
        <w:rPr>
          <w:rFonts w:cs="Arial" w:eastAsia="Arial"/>
          <w:b/>
          <w:bCs/>
        </w:rPr>
        <w:t>Exclusions:</w:t>
      </w:r>
      <w:r>
        <w:rPr>
          <w:rFonts w:cs="Arial" w:eastAsia="Arial"/>
        </w:rPr>
        <w:t xml:space="preserve"> </w:t>
      </w:r>
      <w:r>
        <w:rPr/>
        <w:t>MGY451H1, MGY452H1</w:t>
      </w:r>
    </w:p>
    <w:p>
      <w:pPr>
        <w:pStyle w:val="Normal"/>
        <w:spacing w:after="0" w:before="0"/>
        <w:rPr/>
      </w:pPr>
      <w:r>
        <w:rPr>
          <w:rFonts w:cs="Arial"/>
          <w:b/>
        </w:rPr>
        <w:t>Recommended Preparation</w:t>
      </w:r>
      <w:r>
        <w:rPr>
          <w:rFonts w:cs="Arial"/>
        </w:rPr>
        <w:t xml:space="preserve">: </w:t>
      </w:r>
      <w:r>
        <w:rPr/>
        <w:t>MGY340H1, MGY350H1</w:t>
      </w:r>
    </w:p>
    <w:p>
      <w:pPr>
        <w:pStyle w:val="Normal"/>
        <w:spacing w:after="0" w:before="0"/>
        <w:rPr/>
      </w:pPr>
      <w:r>
        <w:rPr>
          <w:rFonts w:cs="Arial" w:eastAsia="Arial"/>
          <w:b/>
          <w:bCs/>
        </w:rPr>
        <w:t xml:space="preserve">Credit Value: </w:t>
      </w:r>
      <w:r>
        <w:rPr/>
        <w:t>0.5</w:t>
      </w:r>
    </w:p>
    <w:p>
      <w:pPr>
        <w:pStyle w:val="Normal"/>
        <w:spacing w:after="0" w:before="0"/>
        <w:rPr>
          <w:rFonts w:cs="Arial" w:eastAsia="Arial"/>
        </w:rPr>
      </w:pPr>
      <w:r>
        <w:rPr>
          <w:rFonts w:cs="Arial" w:eastAsia="Arial"/>
        </w:rPr>
      </w:r>
    </w:p>
    <w:p>
      <w:pPr>
        <w:pStyle w:val="Heading2"/>
        <w:rPr/>
      </w:pPr>
      <w:r>
        <w:rPr/>
        <w:t>Course Materials</w:t>
      </w:r>
    </w:p>
    <w:p>
      <w:pPr>
        <w:pStyle w:val="TextBody"/>
        <w:rPr/>
      </w:pPr>
      <w:r>
        <w:rPr>
          <w:lang w:val="en-CA"/>
        </w:rPr>
        <w:t xml:space="preserve">TEXTBOOK: </w:t>
      </w:r>
      <w:r>
        <w:rPr/>
        <w:t>There will be no required textbook for this course, but students are encouraged to refer to recent texts that review some of the topics that we will cover. References to these texts and to the primary and review literature will be provided in class as appropriate.</w:t>
      </w:r>
    </w:p>
    <w:p>
      <w:pPr>
        <w:pStyle w:val="TextBody"/>
        <w:rPr/>
      </w:pPr>
      <w:r>
        <w:rPr/>
        <w:t>LECTURE MATERIALS: Lecture materials (as ppt or pdf) will be provided ahead of each class on Quercus.</w:t>
      </w:r>
    </w:p>
    <w:p>
      <w:pPr>
        <w:pStyle w:val="Heading2"/>
        <w:rPr/>
      </w:pPr>
      <w:r>
        <w:rPr/>
        <w:t>Marking Scheme</w:t>
      </w:r>
    </w:p>
    <w:tbl>
      <w:tblPr>
        <w:tblW w:type="dxa" w:w="9360"/>
        <w:jc w:val="left"/>
        <w:tblInd w:type="dxa" w:w="0"/>
        <w:tblLayout w:type="fixed"/>
        <w:tblCellMar>
          <w:top w:type="dxa" w:w="0"/>
          <w:left w:type="dxa" w:w="108"/>
          <w:bottom w:type="dxa" w:w="0"/>
          <w:right w:type="dxa" w:w="108"/>
        </w:tblCellMar>
      </w:tblPr>
      <w:tblGrid>
        <w:gridCol w:w="2340"/>
        <w:gridCol w:w="1125"/>
        <w:gridCol w:w="3555"/>
        <w:gridCol w:w="2340"/>
      </w:tblGrid>
      <w:tr>
        <w:trPr>
          <w:tblHeader w:val="true"/>
          <w:trHeight w:hRule="atLeast" w:val="457"/>
          <w:cantSplit w:val="true"/>
        </w:trPr>
        <w:tc>
          <w:tcPr>
            <w:tcW w:type="dxa" w:w="2340"/>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Assessment</w:t>
            </w:r>
          </w:p>
        </w:tc>
        <w:tc>
          <w:tcPr>
            <w:tcW w:type="dxa" w:w="1125"/>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Percent</w:t>
            </w:r>
          </w:p>
        </w:tc>
        <w:tc>
          <w:tcPr>
            <w:tcW w:type="dxa" w:w="3555"/>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Details</w:t>
            </w:r>
          </w:p>
        </w:tc>
        <w:tc>
          <w:tcPr>
            <w:tcW w:type="dxa" w:w="2340"/>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Due Date</w:t>
            </w:r>
          </w:p>
        </w:tc>
      </w:tr>
      <w:tr>
        <w:trPr>
          <w:cantSplit w:val="true"/>
        </w:trPr>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b/>
                <w:bCs/>
                <w:kern w:val="0"/>
                <w:sz w:val="22"/>
                <w:szCs w:val="22"/>
                <w:lang w:bidi="ar-SA" w:eastAsia="ja-JP" w:val="en-CA"/>
              </w:rPr>
              <w:t>Midterm exam</w:t>
            </w:r>
          </w:p>
        </w:tc>
        <w:tc>
          <w:tcPr>
            <w:tcW w:type="dxa" w:w="112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30%</w:t>
            </w:r>
          </w:p>
        </w:tc>
        <w:tc>
          <w:tcPr>
            <w:tcW w:type="dxa" w:w="355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pPr>
            <w:r>
              <w:rPr/>
            </w:r>
          </w:p>
        </w:tc>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2024-10-09</w:t>
            </w:r>
          </w:p>
        </w:tc>
      </w:tr>
      <w:tr>
        <w:trPr>
          <w:cantSplit w:val="true"/>
        </w:trPr>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b/>
                <w:bCs/>
                <w:kern w:val="0"/>
                <w:sz w:val="22"/>
                <w:szCs w:val="22"/>
                <w:lang w:bidi="ar-SA" w:eastAsia="ja-JP" w:val="en-CA"/>
              </w:rPr>
              <w:t>Quizzes</w:t>
            </w:r>
          </w:p>
        </w:tc>
        <w:tc>
          <w:tcPr>
            <w:tcW w:type="dxa" w:w="112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30%</w:t>
            </w:r>
          </w:p>
        </w:tc>
        <w:tc>
          <w:tcPr>
            <w:tcW w:type="dxa" w:w="355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pPr>
            <w:r>
              <w:rPr/>
            </w:r>
          </w:p>
        </w:tc>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2024-09-09,2024-10-21,2024-10-23,2024-11-06,2024-12-02,2024-11-13</w:t>
            </w:r>
          </w:p>
        </w:tc>
      </w:tr>
      <w:tr>
        <w:trPr>
          <w:cantSplit w:val="true"/>
        </w:trPr>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b/>
                <w:bCs/>
                <w:kern w:val="0"/>
                <w:sz w:val="22"/>
                <w:szCs w:val="22"/>
                <w:lang w:bidi="ar-SA" w:eastAsia="ja-JP" w:val="en-CA"/>
              </w:rPr>
              <w:t>In-Person Final Exam</w:t>
            </w:r>
          </w:p>
        </w:tc>
        <w:tc>
          <w:tcPr>
            <w:tcW w:type="dxa" w:w="112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40%</w:t>
            </w:r>
          </w:p>
        </w:tc>
        <w:tc>
          <w:tcPr>
            <w:tcW w:type="dxa" w:w="355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ascii="Arial" w:cs="Arial" w:eastAsia="Arial" w:hAnsi="Arial"/>
                <w:kern w:val="0"/>
                <w:sz w:val="22"/>
                <w:szCs w:val="22"/>
                <w:lang w:bidi="ar-SA" w:eastAsia="ja-JP" w:val="en-CA"/>
              </w:rPr>
            </w:pPr>
            <w:r>
              <w:rPr>
                <w:rFonts w:cs="Arial" w:eastAsia="Arial"/>
                <w:kern w:val="0"/>
                <w:sz w:val="22"/>
                <w:szCs w:val="22"/>
                <w:lang w:bidi="ar-SA" w:eastAsia="ja-JP" w:val="en-CA"/>
              </w:rPr>
            </w:r>
          </w:p>
        </w:tc>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Final Exam Period</w:t>
            </w:r>
          </w:p>
        </w:tc>
      </w:tr>
    </w:tbl>
    <w:p>
      <w:pPr>
        <w:pStyle w:val="TextBody"/>
        <w:rPr/>
      </w:pPr>
      <w:r>
        <w:rPr/>
        <w:t>Quizzes will be a combination of take-home assignments and short in-class quizzes on lectured material or assigned readings.</w:t>
      </w:r>
    </w:p>
    <w:p>
      <w:pPr>
        <w:pStyle w:val="Heading3"/>
        <w:rPr/>
      </w:pPr>
      <w:r>
        <w:rPr/>
        <w:t>Late Assessment Submissions Policy</w:t>
      </w:r>
    </w:p>
    <w:p>
      <w:pPr>
        <w:pStyle w:val="TextBody"/>
        <w:rPr/>
      </w:pPr>
      <w:r>
        <w:rPr/>
        <w:t xml:space="preserve">It is the student’s responsibility to inform the instructors of a missed deadline for assignment submission or a missed in-person exam/quiz. Though we highly discourage it, this course has a policy to allow a one-time late submission when well justified. If late submission occurs a 2nd time, the assignment will be marked at 0 points. If an in-person exam/quiz is missed with suitable justification, a make-up exam/quiz will be offered, as appropriate. </w:t>
      </w:r>
    </w:p>
    <w:p>
      <w:pPr>
        <w:pStyle w:val="Heading2"/>
        <w:spacing w:after="360" w:before="360"/>
        <w:rPr/>
      </w:pPr>
      <w:r>
        <w:rPr/>
        <w:t>Course Schedule</w:t>
      </w:r>
    </w:p>
    <w:p>
      <w:pPr>
        <w:pStyle w:val="Normal"/>
        <w:rPr/>
      </w:pPr>
      <w:r>
        <w:rPr/>
      </w:r>
    </w:p>
    <w:tbl>
      <w:tblPr>
        <w:tblW w:type="dxa" w:w="9360"/>
        <w:jc w:val="left"/>
        <w:tblInd w:type="dxa" w:w="0"/>
        <w:tblLayout w:type="fixed"/>
        <w:tblCellMar>
          <w:top w:type="dxa" w:w="28"/>
          <w:left w:type="dxa" w:w="28"/>
          <w:bottom w:type="dxa" w:w="28"/>
          <w:right w:type="dxa" w:w="28"/>
        </w:tblCellMar>
      </w:tblPr>
      <w:tblGrid>
        <w:gridCol w:w="861"/>
        <w:gridCol w:w="8499"/>
      </w:tblGrid>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Week</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Description</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Sept 4th, 9th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t xml:space="preserve">Introduction to development and major model organisms. </w:t>
            </w:r>
            <w:r>
              <w:rPr>
                <w:sz w:val="22"/>
              </w:rPr>
              <w:t>Dr. Protze </w:t>
            </w:r>
          </w:p>
          <w:p>
            <w:pPr>
              <w:pStyle w:val="TableContents"/>
              <w:widowControl w:val="false"/>
              <w:suppressLineNumbers/>
              <w:spacing w:after="160" w:before="0"/>
              <w:rPr/>
            </w:pPr>
            <w:r>
              <w:rPr/>
              <w:t>These lectures will explore the challenges faced by a single cell in order for it to produce a complex animal capable of repeating the cycle. You will be introduced to the invertebrate and vertebrate model organisms that have been chosen by scientists to study these processes, as well as why they were chosen, how they are manipulated and their various pros and cons. You will also be introduced to online tools for accessing experimental information for different model organisms. A take-home quiz ("Webquest"; 5%) will be assigned after the 2nd class.</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Sept 11th, 16th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t xml:space="preserve">Embryo polarity and axis specification. </w:t>
            </w:r>
            <w:r>
              <w:rPr>
                <w:sz w:val="22"/>
              </w:rPr>
              <w:t>Dr. Zhen</w:t>
            </w:r>
          </w:p>
          <w:p>
            <w:pPr>
              <w:pStyle w:val="TableContents"/>
              <w:widowControl w:val="false"/>
              <w:suppressLineNumbers/>
              <w:spacing w:after="160" w:before="0"/>
              <w:rPr/>
            </w:pPr>
            <w:r>
              <w:rPr/>
              <w:t>Invertebrate and vertebrate organisms establish primary anterior-posterior, left-right, and dorsal-ventral axes early in development. The mechanisms used to control these fundamental processes, and their timing, will be compared among organisms. A key learning objective will be to appreciate the similarities and differences in the signaling pathways in various organisms.</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Sept 19th, 23th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t xml:space="preserve">Metamerization. </w:t>
            </w:r>
            <w:r>
              <w:rPr>
                <w:sz w:val="22"/>
                <w:lang w:val="en-CA"/>
              </w:rPr>
              <w:t xml:space="preserve">Dr. </w:t>
            </w:r>
            <w:r>
              <w:rPr>
                <w:sz w:val="22"/>
              </w:rPr>
              <w:t>Krause</w:t>
            </w:r>
            <w:r>
              <w:rPr/>
              <w:t> </w:t>
            </w:r>
          </w:p>
          <w:p>
            <w:pPr>
              <w:pStyle w:val="TableContents"/>
              <w:widowControl w:val="false"/>
              <w:suppressLineNumbers/>
              <w:spacing w:after="160" w:before="0"/>
              <w:rPr/>
            </w:pPr>
            <w:r>
              <w:rPr/>
              <w:t>The bodies of most animals are divided along the anterior-posterior axis into repeating morphological units, such as the segments of insects or the somites and backbones of vertebrates. This lecture will explore how fields of equivalent cells are divided into repeating units of equal size to generate the precursors of subsequent ‘metameric’ body parts.</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Sept 25th, 30th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lang w:val="de-DE"/>
              </w:rPr>
              <w:t xml:space="preserve">Hox genes and epigenetic zippers. </w:t>
            </w:r>
            <w:r>
              <w:rPr>
                <w:sz w:val="22"/>
                <w:lang w:val="en-CA"/>
              </w:rPr>
              <w:t xml:space="preserve">Dr. </w:t>
            </w:r>
            <w:r>
              <w:rPr>
                <w:sz w:val="22"/>
              </w:rPr>
              <w:t>Kraus</w:t>
            </w:r>
            <w:r>
              <w:rPr>
                <w:sz w:val="22"/>
                <w:lang w:val="en-CA"/>
              </w:rPr>
              <w:t>e</w:t>
            </w:r>
          </w:p>
          <w:p>
            <w:pPr>
              <w:pStyle w:val="TableContents"/>
              <w:bidi w:val="1"/>
              <w:spacing w:after="160" w:before="0"/>
              <w:rPr/>
            </w:pPr>
            <w:r>
              <w:rPr/>
              <w:t>At the same time that metamerization is occurring, these repeating units develop regional identities and structures that are different from the units ahead and behind. This highly conserved process is controlled by ‘homeotic genes'. Homeotic gene mutations cause transformations of one body part into another. These lectures will look at how these genes evolved, how they function and how they themselves are regulated</w:t>
            </w:r>
            <w:r>
              <w:rPr>
                <w:rtl w:val="true"/>
              </w:rPr>
              <w:t>.</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Oct 2nd, 7th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t xml:space="preserve">Signaling. </w:t>
            </w:r>
            <w:r>
              <w:rPr>
                <w:sz w:val="22"/>
              </w:rPr>
              <w:t>Dr. Zhen</w:t>
            </w:r>
          </w:p>
          <w:p>
            <w:pPr>
              <w:pStyle w:val="TableContents"/>
              <w:widowControl w:val="false"/>
              <w:suppressLineNumbers/>
              <w:spacing w:after="160" w:before="0"/>
              <w:rPr/>
            </w:pPr>
            <w:r>
              <w:rPr/>
              <w:t>During animal development, the fates of many cells depend on interactions with other cells: some fates are determined in response to "inductive" signals from cells of another tissue, and others are a result of "lateral" interactions between cells of equivalent developmental potential. A small number of highly conserved signaling pathways mediate many of these interactions in all animals. We will review some of the experiments that revealed the existence of cell interactions during development and the mechanisms that underlie these interactions.</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Oct 16th, 21st</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t xml:space="preserve">Compartments and Signaling Centres. </w:t>
            </w:r>
            <w:r>
              <w:rPr>
                <w:sz w:val="22"/>
                <w:lang w:val="en-CA"/>
              </w:rPr>
              <w:t xml:space="preserve">Dr. </w:t>
            </w:r>
            <w:r>
              <w:rPr>
                <w:sz w:val="22"/>
              </w:rPr>
              <w:t>Kraus</w:t>
            </w:r>
            <w:r>
              <w:rPr>
                <w:sz w:val="22"/>
                <w:lang w:val="en-CA"/>
              </w:rPr>
              <w:t>e</w:t>
            </w:r>
          </w:p>
          <w:p>
            <w:pPr>
              <w:pStyle w:val="TableContents"/>
              <w:widowControl w:val="false"/>
              <w:suppressLineNumbers/>
              <w:spacing w:after="160" w:before="0"/>
              <w:rPr/>
            </w:pPr>
            <w:r>
              <w:rPr/>
              <w:t>Cellular differentiation can result in permanent borders between groups of cells that prevent subsequent cell mixing. These borders are often the sources of molecular signals that act to maintain these borders and promote differentiation in the adjacent compartment. These lectures will explore how compartments were discovered, how they form and some of their developmental roles</w:t>
            </w:r>
            <w:r>
              <w:rPr>
                <w:lang w:val="en-CA"/>
              </w:rPr>
              <w:t>. The 2nd lecture will include a discussion of assigned papers and in-class quiz (5%). </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Oct 23rd</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lang w:val="da-DK"/>
              </w:rPr>
              <w:t xml:space="preserve">Organogenesis. </w:t>
            </w:r>
            <w:r>
              <w:rPr>
                <w:sz w:val="22"/>
                <w:lang w:val="en-CA"/>
              </w:rPr>
              <w:t xml:space="preserve">Dr. </w:t>
            </w:r>
            <w:r>
              <w:rPr>
                <w:sz w:val="22"/>
              </w:rPr>
              <w:t>Protze </w:t>
            </w:r>
          </w:p>
          <w:p>
            <w:pPr>
              <w:pStyle w:val="TableContents"/>
              <w:widowControl w:val="false"/>
              <w:suppressLineNumbers/>
              <w:spacing w:after="160" w:before="0"/>
              <w:rPr/>
            </w:pPr>
            <w:r>
              <w:rPr/>
              <w:t>This lecture will cover how pluripotent progenitors of the inner cell mass in mammals differentiate into complex organs. We will cover the basic principles of germ layer specification and which organs develop from each germ layer. A take-home quiz will be assigned (5%).</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Nov 4th, 6th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b w:val="false"/>
              </w:rPr>
            </w:pPr>
            <w:r>
              <w:rPr>
                <w:b w:val="false"/>
              </w:rPr>
              <w:t>Neurogenesis. Dr. Zhen</w:t>
            </w:r>
          </w:p>
          <w:p>
            <w:pPr>
              <w:pStyle w:val="TableContents"/>
              <w:spacing w:after="160" w:before="0"/>
              <w:rPr>
                <w:b w:val="false"/>
              </w:rPr>
            </w:pPr>
            <w:r>
              <w:rPr>
                <w:b w:val="false"/>
              </w:rPr>
              <w:t>The nervous system is ultimately a network of cells that manage all forms of animal movement and behavior. During development, neuronal differentiation and progressive specialization into cell types with distinct signaling properties, and with dedicated wiring partners, form distinct neural networks. These lectures will introduce the history, approaches, and our current understanding of how these processes take place in invertebrates and vertebrates. We will discuss species differences and similarities. A quiz (5%) will be assigned.</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Nov 11th,13th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t xml:space="preserve">Heart development and regeneration. </w:t>
            </w:r>
            <w:r>
              <w:rPr>
                <w:sz w:val="22"/>
                <w:lang w:val="en-CA"/>
              </w:rPr>
              <w:t>Dr. Protze</w:t>
            </w:r>
          </w:p>
          <w:p>
            <w:pPr>
              <w:pStyle w:val="TableContents"/>
              <w:widowControl w:val="false"/>
              <w:suppressLineNumbers/>
              <w:spacing w:after="160" w:before="0"/>
              <w:rPr/>
            </w:pPr>
            <w:r>
              <w:rPr/>
              <w:t>The formation of complex organs, such as the heart, requires precise control of signaling pathways. We will cover literature that identified the key signals required for heart development using classical animal models such as mouse and chicken. We will also explore the latest insights into human heart development gained by using human pluripotent stem cells as a model system. In the last lecture of this series, we will take a look at heart regeneration across different species and discuss the genetic models used to study regeneration.  A quiz (5%) will be assigned.</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Nov 18th, 20th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t xml:space="preserve">Germ line determination. </w:t>
            </w:r>
            <w:r>
              <w:rPr>
                <w:sz w:val="22"/>
              </w:rPr>
              <w:t>Drs. Zhen, Protze</w:t>
            </w:r>
          </w:p>
          <w:p>
            <w:pPr>
              <w:pStyle w:val="TableContents"/>
              <w:spacing w:after="0" w:before="0"/>
              <w:rPr/>
            </w:pPr>
            <w:r>
              <w:rPr/>
              <w:t xml:space="preserve">Establishing the germ cells is a key feature of sexual reproduction. The essential characteristics of the germline are similar among organisms, yet how germ cells are established differs with respect to place, time and mechanism. How do the different organisms set aside and maintain cells that must be passed to the next generation? Do these cells differ between males and females? What are the consequences of disturbing germ cell development? </w:t>
            </w:r>
          </w:p>
          <w:p>
            <w:pPr>
              <w:pStyle w:val="TableContents"/>
              <w:spacing w:after="0" w:before="0"/>
              <w:rPr/>
            </w:pPr>
            <w:r>
              <w:rPr/>
              <w:t> </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Nov 25th</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lang w:val="en-CA"/>
              </w:rPr>
              <w:t xml:space="preserve">Sex determination. </w:t>
            </w:r>
            <w:r>
              <w:rPr>
                <w:sz w:val="22"/>
                <w:lang w:val="en-CA"/>
              </w:rPr>
              <w:t>Dr</w:t>
            </w:r>
            <w:r>
              <w:rPr>
                <w:sz w:val="22"/>
              </w:rPr>
              <w:t xml:space="preserve">. </w:t>
            </w:r>
            <w:r>
              <w:rPr>
                <w:sz w:val="22"/>
                <w:lang w:val="en-CA"/>
              </w:rPr>
              <w:t>Protze</w:t>
            </w:r>
          </w:p>
          <w:p>
            <w:pPr>
              <w:pStyle w:val="TableContents"/>
              <w:widowControl w:val="false"/>
              <w:suppressLineNumbers/>
              <w:spacing w:after="160" w:before="0"/>
              <w:rPr/>
            </w:pPr>
            <w:r>
              <w:rPr/>
              <w:t>Sexual reproduction is almost universal among animals, and yet the mechanisms that determine sex are enormously diverse. We will examine what genetic analysis has taught us about sex determination mechanisms in worms, flies and mammals, and whether those mechanisms reveal signs of a common origin. How primary sex determination affects the development of tissues throughout the organism will be discussed.</w:t>
            </w:r>
          </w:p>
        </w:tc>
      </w:tr>
      <w:tr>
        <w:trPr/>
        <w:tc>
          <w:tcPr>
            <w:tcW w:type="dxa" w:w="861"/>
            <w:tcBorders>
              <w:top w:color="000000" w:space="0" w:sz="2" w:val="single"/>
              <w:left w:color="000000" w:space="0" w:sz="2" w:val="single"/>
              <w:bottom w:color="000000" w:space="0" w:sz="2" w:val="single"/>
              <w:right w:color="000000" w:space="0" w:sz="2" w:val="single"/>
            </w:tcBorders>
            <w:vAlign w:val="center"/>
          </w:tcPr>
          <w:p>
            <w:pPr>
              <w:pStyle w:val="TableContents"/>
              <w:widowControl w:val="false"/>
              <w:suppressLineNumbers/>
              <w:spacing w:after="160" w:before="0"/>
              <w:rPr/>
            </w:pPr>
            <w:r>
              <w:rPr>
                <w:rStyle w:val="StrongEmphasis"/>
              </w:rPr>
              <w:t>Nov 27th, Dec 2nd</w:t>
            </w:r>
          </w:p>
        </w:tc>
        <w:tc>
          <w:tcPr>
            <w:tcW w:type="dxa" w:w="8499"/>
            <w:tcBorders>
              <w:top w:color="000000" w:space="0" w:sz="2" w:val="single"/>
              <w:left w:color="000000" w:space="0" w:sz="2" w:val="single"/>
              <w:bottom w:color="000000" w:space="0" w:sz="2" w:val="single"/>
              <w:right w:color="000000" w:space="0" w:sz="2" w:val="single"/>
            </w:tcBorders>
            <w:vAlign w:val="center"/>
          </w:tcPr>
          <w:p>
            <w:pPr>
              <w:pStyle w:val="TableContents"/>
              <w:rPr/>
            </w:pPr>
            <w:r>
              <w:rPr/>
              <w:t xml:space="preserve">Developmental timing. </w:t>
            </w:r>
            <w:r>
              <w:rPr>
                <w:sz w:val="22"/>
                <w:lang w:val="en-CA"/>
              </w:rPr>
              <w:t xml:space="preserve">Dr. </w:t>
            </w:r>
            <w:r>
              <w:rPr>
                <w:sz w:val="22"/>
              </w:rPr>
              <w:t>Krause</w:t>
            </w:r>
          </w:p>
          <w:p>
            <w:pPr>
              <w:pStyle w:val="TableContents"/>
              <w:widowControl w:val="false"/>
              <w:suppressLineNumbers/>
              <w:spacing w:after="160" w:before="0"/>
              <w:rPr/>
            </w:pPr>
            <w:r>
              <w:rPr/>
              <w:t>The developmental life cycle of an organism requires an ability to coordinate the rates of growth of various tissues with one another. It also requires coordination with external factors such as temperature, light and available nutrition prior to committing to major energy-requiring developmental transitions. These lectures will look at the molecular sensors and clocks that monitor and control these processes. Post-class quiz on discussed papers (5%).</w:t>
            </w:r>
          </w:p>
        </w:tc>
      </w:tr>
    </w:tbl>
    <w:p>
      <w:pPr>
        <w:pStyle w:val="Normal"/>
        <w:rPr/>
      </w:pPr>
      <w:r>
        <w:rPr/>
      </w:r>
    </w:p>
    <w:p>
      <w:pPr>
        <w:pStyle w:val="Normal"/>
        <w:rPr>
          <w:rFonts w:cs="Arial"/>
        </w:rPr>
      </w:pPr>
      <w:r>
        <w:rPr>
          <w:rFonts w:cs="Arial"/>
        </w:rPr>
      </w:r>
    </w:p>
    <w:p>
      <w:pPr>
        <w:pStyle w:val="Heading2"/>
        <w:rPr>
          <w:rFonts w:eastAsia="Arial"/>
          <w:color w:val="262626"/>
          <w:sz w:val="32"/>
        </w:rPr>
      </w:pPr>
      <w:r>
        <w:rPr/>
        <w:t>Policies &amp; Statements</w:t>
      </w:r>
    </w:p>
    <w:p>
      <w:pPr>
        <w:pStyle w:val="Heading3"/>
        <w:rPr/>
      </w:pPr>
      <w:r>
        <w:rPr/>
        <w:t>Lecture materials and recording (by Student)</w:t>
      </w:r>
    </w:p>
    <w:p>
      <w:pPr>
        <w:pStyle w:val="TextBody"/>
        <w:rPr/>
      </w:pPr>
      <w:r>
        <w:rPr>
          <w:lang w:val="en-CA"/>
        </w:rPr>
        <w:t xml:space="preserve">LECTURE MATERIALS: </w:t>
      </w:r>
      <w:r>
        <w:rPr/>
        <w:t>Lecture materials (as ppt or pdf) will be provided ahead of each class on Quercus. Students should be aware that: (1) Faculty are not required to provide the postings and handouts; this is something we do to make the course easier to follow. (2) The lecture itself is the primary conduit of information. (3) Lectures may not follow the posted materials or handouts exactly and are likely to contain information that cannot be gained from the slides alone or the assigned reading material. (4) Exams may include information that is not found on handouts and postings.</w:t>
      </w:r>
    </w:p>
    <w:p>
      <w:pPr>
        <w:pStyle w:val="TextBody"/>
        <w:rPr/>
      </w:pPr>
      <w:r>
        <w:rPr/>
        <w:t>Students should also be aware that the lecture materials are the Intellectual Property of the lecturers. Access to this material and to the lectures (and lecturers), who have unique, special, up-to-date expertise in the course topics, is something you have earned through your previous efforts that got you into this course, and is also a significant component of what you are paying for with your tuition. Further distribution of the lecture materials (e.g. on other web sites, in computer or paper files accessible by other students or the public, or by giving paper copies to others not registered in the course) without permission constitutes an academic offence, and the instructors have the right to pursue disciplinary action.</w:t>
      </w:r>
    </w:p>
    <w:p>
      <w:pPr>
        <w:pStyle w:val="TextBody"/>
        <w:rPr>
          <w:rFonts w:cs="Arial" w:eastAsia="Arial"/>
        </w:rPr>
      </w:pPr>
      <w:r>
        <w:rPr/>
        <w:t>The same principles apply to recordings of the lectures. The individual lecturers can decide whether to allow recordings, and distribution of such recordings. Doing so without permission constitutes an academic offence.</w:t>
      </w:r>
    </w:p>
    <w:p>
      <w:pPr>
        <w:pStyle w:val="Heading3"/>
        <w:rPr/>
      </w:pPr>
      <w:r>
        <w:rPr/>
        <w:t>Late/Missed Assignments</w:t>
      </w:r>
    </w:p>
    <w:p>
      <w:pPr>
        <w:pStyle w:val="TextBody"/>
        <w:bidi w:val="1"/>
        <w:jc w:val="right"/>
        <w:rPr/>
      </w:pPr>
      <w:r>
        <w:rPr/>
        <w:t>ABSENCE DECLARATION: Students who are absent from the lecture for any reason (e.g., COVID, cold, flu, other illness, injury or family situation), and who require consideration for missed academic work, should report their absence through the online absence declaration site. This is available through ACORN under the Profile and Settings menu. Students should advise the instructors of their absence as they are not automatically alerted when a student declares absence. It is the student’s responsibility to inform the instructors so that any needed accommodation can be discussed where appropriate</w:t>
      </w:r>
      <w:r>
        <w:rPr>
          <w:rtl w:val="true"/>
        </w:rPr>
        <w:t>.</w:t>
      </w:r>
    </w:p>
    <w:p>
      <w:pPr>
        <w:pStyle w:val="TextBody"/>
        <w:bidi w:val="1"/>
        <w:spacing w:after="0" w:before="0"/>
        <w:jc w:val="right"/>
        <w:rPr/>
      </w:pPr>
      <w:r>
        <w:rPr>
          <w:lang w:val="pt-PT"/>
        </w:rPr>
        <w:t xml:space="preserve">MISSED EXAMS, QUIZZES, ASSIGNMENTS: </w:t>
      </w:r>
      <w:r>
        <w:rPr/>
        <w:t>It is the student’s responsibility to inform the instructors of a missed deadline for assignment submission or a missed in-person exam/quiz. Though we highly discourage it, this course has a policy to allow a one-time late submission when well justified. If late submission occurs a 2nd time, the assignment will be marked at 0 points. If an in-person exam/quiz is missed with suitable justification, a make-up exam or quiz may be offered, as appropriate</w:t>
      </w:r>
      <w:r>
        <w:rPr>
          <w:rtl w:val="true"/>
        </w:rPr>
        <w:t>.</w:t>
      </w:r>
    </w:p>
    <w:p>
      <w:pPr>
        <w:pStyle w:val="Normal"/>
        <w:widowControl/>
        <w:suppressAutoHyphens w:val="true"/>
        <w:bidi w:val="0"/>
        <w:spacing w:after="160" w:before="0" w:line="259" w:lineRule="auto"/>
        <w:jc w:val="left"/>
        <w:rPr/>
      </w:pPr>
      <w:r>
        <w:rPr/>
      </w:r>
    </w:p>
    <w:sectPr>
      <w:headerReference r:id="rId5" w:type="default"/>
      <w:headerReference r:id="rId6" w:type="first"/>
      <w:footerReference r:id="rId7" w:type="default"/>
      <w:footerReference r:id="rId8" w:type="first"/>
      <w:type w:val="nextPage"/>
      <w:pgSz w:h="15840" w:w="12240"/>
      <w:pgMar w:bottom="777" w:footer="720" w:gutter="0" w:header="720" w:left="1440" w:right="1440" w:top="777"/>
      <w:pgNumType w:fmt="decimal"/>
      <w:formProt w:val="false"/>
      <w:titlePg/>
      <w:textDirection w:val="lrTb"/>
      <w:docGrid w:charSpace="4096" w:linePitch="360" w:type="default"/>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embedRegular r:id="rId1" w:fontKey="{01014A78-CABC-4EF0-12AC-5CD89AEFDE01}"/>
    <w:embedBold r:id="rId2" w:fontKey="{02014A78-CABC-4EF0-12AC-5CD89AEFDE02}"/>
    <w:embedItalic r:id="rId3" w:fontKey="{03014A78-CABC-4EF0-12AC-5CD89AEFDE03}"/>
  </w:font>
  <w:font w:name="Liberation Serif">
    <w:altName w:val="Times New Roman"/>
    <w:charset w:val="01"/>
    <w:family w:val="roman"/>
    <w:pitch w:val="variable"/>
    <w:embedRegular r:id="rId4" w:fontKey="{04014A78-CABC-4EF0-12AC-5CD89AEFDE04}"/>
    <w:embedBold r:id="rId5" w:fontKey="{05014A78-CABC-4EF0-12AC-5CD89AEFDE05}"/>
    <w:embedItalic r:id="rId6" w:fontKey="{06014A78-CABC-4EF0-12AC-5CD89AEFDE06}"/>
    <w:embedBoldItalic r:id="rId7" w:fontKey="{07014A78-CABC-4EF0-12AC-5CD89AEFDE07}"/>
  </w:font>
  <w:font w:name="Arial">
    <w:charset w:val="01"/>
    <w:family w:val="roman"/>
    <w:pitch w:val="variable"/>
  </w:font>
  <w:font w:name="Times New Roman">
    <w:charset w:val="01"/>
    <w:family w:val="roman"/>
    <w:pitch w:val="variable"/>
  </w:font>
  <w:font w:name="Courier New">
    <w:charset w:val="01"/>
    <w:family w:val="roman"/>
    <w:pitch w:val="variable"/>
  </w:font>
  <w:font w:name="Liberation Sans">
    <w:altName w:val="Arial"/>
    <w:charset w:val="01"/>
    <w:family w:val="swiss"/>
    <w:pitch w:val="variable"/>
    <w:embedRegular r:id="rId8" w:fontKey="{08014A78-CABC-4EF0-12AC-5CD89AEFDE08}"/>
    <w:embedBold r:id="rId9" w:fontKey="{09014A78-CABC-4EF0-12AC-5CD89AEFDE09}"/>
    <w:embedItalic r:id="rId10" w:fontKey="{0A014A78-CABC-4EF0-12AC-5CD89AEFDE0A}"/>
    <w:embedBoldItalic r:id="rId11" w:fontKey="{0B014A78-CABC-4EF0-12AC-5CD89AEFDE0B}"/>
  </w:font>
</w:fonts>
</file>

<file path=word/footer1.xml><?xml version="1.0" encoding="utf-8"?>
<w:ft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Footer"/>
      <w:tabs>
        <w:tab w:pos="4680" w:val="clear"/>
        <w:tab w:leader="none" w:pos="9360" w:val="right"/>
      </w:tabs>
      <w:rPr/>
    </w:pPr>
    <w:r>
      <w:rPr>
        <w:color w:val="808080"/>
        <w:sz w:val="20"/>
        <w:szCs w:val="20"/>
      </w:rPr>
      <w:t xml:space="preserve">MGY460H1 F Syllabus – Valid as of </w:t>
    </w:r>
    <w:r>
      <w:rPr>
        <w:color w:val="808080"/>
        <w:sz w:val="20"/>
        <w:szCs w:val="20"/>
      </w:rPr>
      <w:fldChar w:fldCharType="begin"/>
    </w:r>
    <w:r>
      <w:rPr>
        <w:sz w:val="20"/>
        <w:szCs w:val="20"/>
        <w:color w:val="808080"/>
      </w:rPr>
      <w:instrText xml:space="preserve"> DATE \@"yyyy-MM-dd" </w:instrText>
    </w:r>
    <w:r>
      <w:rPr>
        <w:sz w:val="20"/>
        <w:szCs w:val="20"/>
        <w:color w:val="808080"/>
      </w:rPr>
      <w:fldChar w:fldCharType="separate"/>
    </w:r>
    <w:r>
      <w:rPr>
        <w:sz w:val="20"/>
        <w:szCs w:val="20"/>
        <w:color w:val="808080"/>
      </w:rPr>
      <w:t>2024-09-18</w:t>
    </w:r>
    <w:r>
      <w:rPr>
        <w:sz w:val="20"/>
        <w:szCs w:val="20"/>
        <w:color w:val="808080"/>
      </w:rPr>
      <w:fldChar w:fldCharType="end"/>
    </w:r>
    <w:r>
      <w:rPr>
        <w:color w:val="808080"/>
        <w:sz w:val="20"/>
        <w:szCs w:val="20"/>
      </w:rPr>
      <w:tab/>
      <w:t xml:space="preserve">Page </w:t>
    </w:r>
    <w:r>
      <w:rPr>
        <w:color w:val="808080"/>
        <w:sz w:val="20"/>
        <w:szCs w:val="20"/>
      </w:rPr>
      <w:fldChar w:fldCharType="begin"/>
    </w:r>
    <w:r>
      <w:rPr>
        <w:sz w:val="20"/>
        <w:szCs w:val="20"/>
        <w:color w:val="808080"/>
      </w:rPr>
      <w:instrText xml:space="preserve"> PAGE </w:instrText>
    </w:r>
    <w:r>
      <w:rPr>
        <w:sz w:val="20"/>
        <w:szCs w:val="20"/>
        <w:color w:val="808080"/>
      </w:rPr>
      <w:fldChar w:fldCharType="separate"/>
    </w:r>
    <w:r>
      <w:rPr>
        <w:sz w:val="20"/>
        <w:szCs w:val="20"/>
        <w:color w:val="808080"/>
      </w:rPr>
      <w:t>6</w:t>
    </w:r>
    <w:r>
      <w:rPr>
        <w:sz w:val="20"/>
        <w:szCs w:val="20"/>
        <w:color w:val="808080"/>
      </w:rPr>
      <w:fldChar w:fldCharType="end"/>
    </w:r>
  </w:p>
  <w:p>
    <w:pPr>
      <w:pStyle w:val="Footer"/>
      <w:rPr/>
    </w:pPr>
    <w:r>
      <w:rPr/>
    </w:r>
  </w:p>
</w:ftr>
</file>

<file path=word/footer2.xml><?xml version="1.0" encoding="utf-8"?>
<w:ft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Footer"/>
      <w:tabs>
        <w:tab w:pos="4680" w:val="clear"/>
        <w:tab w:leader="none" w:pos="9360" w:val="right"/>
      </w:tabs>
      <w:rPr/>
    </w:pPr>
    <w:r>
      <w:rPr>
        <w:color w:val="808080"/>
        <w:sz w:val="20"/>
        <w:szCs w:val="20"/>
      </w:rPr>
      <w:t xml:space="preserve">MGY460H1 F Syllabus – Valid as of </w:t>
    </w:r>
    <w:r>
      <w:rPr>
        <w:color w:val="808080"/>
        <w:sz w:val="20"/>
        <w:szCs w:val="20"/>
      </w:rPr>
      <w:fldChar w:fldCharType="begin"/>
    </w:r>
    <w:r>
      <w:rPr>
        <w:sz w:val="20"/>
        <w:szCs w:val="20"/>
        <w:color w:val="808080"/>
      </w:rPr>
      <w:instrText xml:space="preserve"> DATE \@"yyyy-MM-dd" </w:instrText>
    </w:r>
    <w:r>
      <w:rPr>
        <w:sz w:val="20"/>
        <w:szCs w:val="20"/>
        <w:color w:val="808080"/>
      </w:rPr>
      <w:fldChar w:fldCharType="separate"/>
    </w:r>
    <w:r>
      <w:rPr>
        <w:sz w:val="20"/>
        <w:szCs w:val="20"/>
        <w:color w:val="808080"/>
      </w:rPr>
      <w:t>2024-09-18</w:t>
    </w:r>
    <w:r>
      <w:rPr>
        <w:sz w:val="20"/>
        <w:szCs w:val="20"/>
        <w:color w:val="808080"/>
      </w:rPr>
      <w:fldChar w:fldCharType="end"/>
    </w:r>
    <w:r>
      <w:rPr>
        <w:color w:val="808080"/>
        <w:sz w:val="20"/>
        <w:szCs w:val="20"/>
      </w:rPr>
      <w:tab/>
      <w:t xml:space="preserve">Page </w:t>
    </w:r>
    <w:r>
      <w:rPr>
        <w:color w:val="808080"/>
        <w:sz w:val="20"/>
        <w:szCs w:val="20"/>
      </w:rPr>
      <w:fldChar w:fldCharType="begin"/>
    </w:r>
    <w:r>
      <w:rPr>
        <w:sz w:val="20"/>
        <w:szCs w:val="20"/>
        <w:color w:val="808080"/>
      </w:rPr>
      <w:instrText xml:space="preserve"> PAGE </w:instrText>
    </w:r>
    <w:r>
      <w:rPr>
        <w:sz w:val="20"/>
        <w:szCs w:val="20"/>
        <w:color w:val="808080"/>
      </w:rPr>
      <w:fldChar w:fldCharType="separate"/>
    </w:r>
    <w:r>
      <w:rPr>
        <w:sz w:val="20"/>
        <w:szCs w:val="20"/>
        <w:color w:val="808080"/>
      </w:rPr>
      <w:t>1</w:t>
    </w:r>
    <w:r>
      <w:rPr>
        <w:sz w:val="20"/>
        <w:szCs w:val="20"/>
        <w:color w:val="808080"/>
      </w:rPr>
      <w:fldChar w:fldCharType="end"/>
    </w:r>
  </w:p>
</w:ftr>
</file>

<file path=word/header1.xml><?xml version="1.0" encoding="utf-8"?>
<w:hd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tbl>
    <w:tblPr>
      <w:tblW w:type="dxa" w:w="9360"/>
      <w:jc w:val="left"/>
      <w:tblInd w:type="dxa" w:w="0"/>
      <w:tblLayout w:type="fixed"/>
      <w:tblCellMar>
        <w:top w:type="dxa" w:w="0"/>
        <w:left w:type="dxa" w:w="108"/>
        <w:bottom w:type="dxa" w:w="0"/>
        <w:right w:type="dxa" w:w="108"/>
      </w:tblCellMar>
    </w:tblPr>
    <w:tblGrid>
      <w:gridCol w:w="3120"/>
      <w:gridCol w:w="3120"/>
      <w:gridCol w:w="3120"/>
    </w:tblGrid>
    <w:tr>
      <w:trPr/>
      <w:tc>
        <w:tcPr>
          <w:tcW w:type="dxa" w:w="3120"/>
          <w:tcBorders/>
        </w:tcPr>
        <w:p>
          <w:pPr>
            <w:pStyle w:val="Header"/>
            <w:widowControl w:val="false"/>
            <w:ind w:hanging="0" w:left="-115" w:right="0"/>
            <w:rPr/>
          </w:pPr>
          <w:r>
            <w:rPr/>
          </w:r>
        </w:p>
      </w:tc>
      <w:tc>
        <w:tcPr>
          <w:tcW w:type="dxa" w:w="3120"/>
          <w:tcBorders/>
        </w:tcPr>
        <w:p>
          <w:pPr>
            <w:pStyle w:val="Header"/>
            <w:widowControl w:val="false"/>
            <w:jc w:val="center"/>
            <w:rPr/>
          </w:pPr>
          <w:r>
            <w:rPr/>
          </w:r>
        </w:p>
      </w:tc>
      <w:tc>
        <w:tcPr>
          <w:tcW w:type="dxa" w:w="3120"/>
          <w:tcBorders/>
        </w:tcPr>
        <w:p>
          <w:pPr>
            <w:pStyle w:val="Header"/>
            <w:widowControl w:val="false"/>
            <w:ind w:hanging="0" w:left="0" w:right="-115"/>
            <w:jc w:val="right"/>
            <w:rPr/>
          </w:pPr>
          <w:r>
            <w:rPr/>
          </w:r>
        </w:p>
      </w:tc>
    </w:tr>
  </w:tbl>
  <w:p>
    <w:pPr>
      <w:pStyle w:val="Header"/>
      <w:rPr/>
    </w:pPr>
    <w:r>
      <w:rPr/>
    </w:r>
  </w:p>
</w:hdr>
</file>

<file path=word/header2.xml><?xml version="1.0" encoding="utf-8"?>
<w:hd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HTMLPreformatted"/>
      <w:shd w:fill="FFFFFF" w:val="clear"/>
      <w:rPr>
        <w:rFonts w:ascii="Arial" w:cs="Arial" w:hAnsi="Arial"/>
      </w:rPr>
    </w:pPr>
    <w:r>
      <w:rPr>
        <w:rFonts w:ascii="Arial" w:cs="Arial" w:hAnsi="Arial"/>
      </w:rPr>
      <w:t>Faculty of Arts and Science - Department of Molecular Genetics</w:t>
    </w:r>
  </w:p>
</w:hdr>
</file>

<file path=word/settings.xml><?xml version="1.0" encoding="utf-8"?>
<w:settings xmlns:w="http://schemas.openxmlformats.org/wordprocessingml/2006/main">
  <w:zoom w:percent="100"/>
  <w:embedTrueTypeFonts/>
  <w:embedSystemFonts/>
  <w:defaultTabStop w:val="720"/>
  <w:autoHyphenation w:val="true"/>
  <w:compat>
    <w:compatSetting w:name="compatibilityMode" w:uri="http://schemas.microsoft.com/office/word" w:val="15"/>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z w:val="22"/>
        <w:szCs w:val="22"/>
        <w:lang w:bidi="ar-SA" w:eastAsia="ja-JP" w:val="en-CA"/>
      </w:rPr>
    </w:rPrDefault>
    <w:pPrDefault>
      <w:pPr>
        <w:suppressAutoHyphens w:val="true"/>
      </w:pPr>
    </w:pPrDefault>
  </w:docDefaults>
  <w:style w:styleId="Normal" w:type="paragraph">
    <w:name w:val="Normal"/>
    <w:qFormat/>
    <w:pPr>
      <w:widowControl/>
      <w:suppressAutoHyphens w:val="true"/>
      <w:kinsoku w:val="true"/>
      <w:overflowPunct w:val="true"/>
      <w:autoSpaceDE w:val="true"/>
      <w:bidi w:val="0"/>
      <w:spacing w:after="160" w:before="0" w:line="259" w:lineRule="auto"/>
      <w:jc w:val="left"/>
    </w:pPr>
    <w:rPr>
      <w:rFonts w:ascii="Arial" w:cs="Arial" w:eastAsia="Arial" w:hAnsi="Arial"/>
      <w:color w:val="auto"/>
      <w:kern w:val="0"/>
      <w:sz w:val="22"/>
      <w:szCs w:val="22"/>
      <w:lang w:bidi="ar-SA" w:eastAsia="ja-JP" w:val="en-CA"/>
    </w:rPr>
  </w:style>
  <w:style w:styleId="Heading1" w:type="paragraph">
    <w:name w:val="Heading 1"/>
    <w:basedOn w:val="Normal"/>
    <w:next w:val="Normal"/>
    <w:qFormat/>
    <w:pPr>
      <w:keepNext w:val="true"/>
      <w:keepLines/>
      <w:numPr>
        <w:ilvl w:val="0"/>
        <w:numId w:val="0"/>
      </w:numPr>
      <w:spacing w:after="360" w:before="360"/>
      <w:outlineLvl w:val="0"/>
    </w:pPr>
    <w:rPr>
      <w:rFonts w:ascii="Arial" w:cs="Arial" w:eastAsia="ＭＳ Ｐゴシック" w:hAnsi="Arial"/>
      <w:b/>
      <w:color w:val="002A5C"/>
      <w:sz w:val="28"/>
      <w:szCs w:val="32"/>
    </w:rPr>
  </w:style>
  <w:style w:styleId="Heading2" w:type="paragraph">
    <w:name w:val="Heading 2"/>
    <w:basedOn w:val="Normal"/>
    <w:next w:val="Normal"/>
    <w:qFormat/>
    <w:pPr>
      <w:keepNext w:val="true"/>
      <w:keepLines/>
      <w:numPr>
        <w:ilvl w:val="0"/>
        <w:numId w:val="0"/>
      </w:numPr>
      <w:spacing w:after="360" w:before="400"/>
      <w:outlineLvl w:val="1"/>
    </w:pPr>
    <w:rPr>
      <w:rFonts w:ascii="Arial" w:cs="Arial" w:eastAsia="ＭＳ Ｐゴシック" w:hAnsi="Arial"/>
      <w:b/>
      <w:color w:val="002A5C"/>
      <w:sz w:val="28"/>
      <w:szCs w:val="26"/>
    </w:rPr>
  </w:style>
  <w:style w:styleId="Heading3" w:type="paragraph">
    <w:name w:val="Heading 3"/>
    <w:basedOn w:val="Normal"/>
    <w:next w:val="Normal"/>
    <w:qFormat/>
    <w:pPr>
      <w:numPr>
        <w:ilvl w:val="0"/>
        <w:numId w:val="0"/>
      </w:numPr>
      <w:spacing w:after="120" w:before="280"/>
      <w:outlineLvl w:val="2"/>
    </w:pPr>
    <w:rPr>
      <w:rFonts w:cs="Arial"/>
      <w:b/>
      <w:sz w:val="24"/>
    </w:rPr>
  </w:style>
  <w:style w:styleId="Heading4" w:type="paragraph">
    <w:name w:val="Heading 4"/>
    <w:basedOn w:val="Normal"/>
    <w:next w:val="Normal"/>
    <w:qFormat/>
    <w:pPr>
      <w:keepNext w:val="true"/>
      <w:keepLines/>
      <w:numPr>
        <w:ilvl w:val="0"/>
        <w:numId w:val="0"/>
      </w:numPr>
      <w:spacing w:after="0" w:before="40"/>
      <w:outlineLvl w:val="3"/>
    </w:pPr>
    <w:rPr>
      <w:rFonts w:ascii="Arial" w:cs="Arial" w:eastAsia="ＭＳ Ｐゴシック" w:hAnsi="Arial"/>
      <w:i/>
      <w:iCs/>
      <w:color w:val="2F5496"/>
    </w:rPr>
  </w:style>
  <w:style w:styleId="DefaultParagraphFont" w:type="character">
    <w:name w:val="Default Paragraph Font"/>
    <w:qFormat/>
    <w:rPr/>
  </w:style>
  <w:style w:styleId="Normaltextrun" w:type="character">
    <w:name w:val="normaltextrun"/>
    <w:basedOn w:val="DefaultParagraphFont"/>
    <w:qFormat/>
    <w:rPr/>
  </w:style>
  <w:style w:styleId="Eop" w:type="character">
    <w:name w:val="eop"/>
    <w:basedOn w:val="DefaultParagraphFont"/>
    <w:qFormat/>
    <w:rPr/>
  </w:style>
  <w:style w:styleId="Heading1Char" w:type="character">
    <w:name w:val="Heading 1 Char"/>
    <w:basedOn w:val="DefaultParagraphFont"/>
    <w:qFormat/>
    <w:rPr>
      <w:rFonts w:ascii="Arial" w:cs="Arial" w:eastAsia="ＭＳ Ｐゴシック" w:hAnsi="Arial"/>
      <w:b/>
      <w:color w:val="002A5C"/>
      <w:sz w:val="28"/>
      <w:szCs w:val="32"/>
    </w:rPr>
  </w:style>
  <w:style w:styleId="Heading2Char" w:type="character">
    <w:name w:val="Heading 2 Char"/>
    <w:basedOn w:val="DefaultParagraphFont"/>
    <w:qFormat/>
    <w:rPr>
      <w:rFonts w:ascii="Arial" w:cs="Arial" w:eastAsia="ＭＳ Ｐゴシック" w:hAnsi="Arial"/>
      <w:b/>
      <w:color w:val="002A5C"/>
      <w:sz w:val="28"/>
      <w:szCs w:val="26"/>
    </w:rPr>
  </w:style>
  <w:style w:styleId="InternetLink" w:type="character">
    <w:name w:val="Hyperlink"/>
    <w:basedOn w:val="DefaultParagraphFont"/>
    <w:rPr>
      <w:color w:val="0563C1"/>
      <w:u w:val="single"/>
    </w:rPr>
  </w:style>
  <w:style w:styleId="Heading3Char" w:type="character">
    <w:name w:val="Heading 3 Char"/>
    <w:basedOn w:val="DefaultParagraphFont"/>
    <w:qFormat/>
    <w:rPr>
      <w:rFonts w:cs="Arial"/>
      <w:b/>
      <w:sz w:val="24"/>
    </w:rPr>
  </w:style>
  <w:style w:styleId="HeaderChar" w:type="character">
    <w:name w:val="Header Char"/>
    <w:basedOn w:val="DefaultParagraphFont"/>
    <w:link w:val="Header"/>
    <w:qFormat/>
    <w:rPr/>
  </w:style>
  <w:style w:styleId="FooterChar" w:type="character">
    <w:name w:val="Footer Char"/>
    <w:basedOn w:val="DefaultParagraphFont"/>
    <w:link w:val="Footer"/>
    <w:qFormat/>
    <w:rPr/>
  </w:style>
  <w:style w:styleId="TitleChar" w:type="character">
    <w:name w:val="Title Char"/>
    <w:basedOn w:val="DefaultParagraphFont"/>
    <w:link w:val="Title"/>
    <w:qFormat/>
    <w:rPr>
      <w:rFonts w:ascii="Arial" w:cs="Arial" w:eastAsia="ＭＳ Ｐゴシック" w:hAnsi="Arial"/>
      <w:b/>
      <w:color w:val="002A5C"/>
      <w:spacing w:val="-10"/>
      <w:kern w:val="2"/>
      <w:sz w:val="40"/>
      <w:szCs w:val="56"/>
    </w:rPr>
  </w:style>
  <w:style w:styleId="UnresolvedMention1" w:type="character">
    <w:name w:val="Unresolved Mention1"/>
    <w:basedOn w:val="DefaultParagraphFont"/>
    <w:qFormat/>
    <w:rPr>
      <w:color w:val="605E5C"/>
      <w:shd w:fill="E1DFDD" w:val="clear"/>
    </w:rPr>
  </w:style>
  <w:style w:styleId="BalloonTextChar" w:type="character">
    <w:name w:val="Balloon Text Char"/>
    <w:basedOn w:val="DefaultParagraphFont"/>
    <w:qFormat/>
    <w:rPr>
      <w:rFonts w:ascii="Times New Roman" w:cs="Times New Roman" w:hAnsi="Times New Roman"/>
      <w:sz w:val="18"/>
      <w:szCs w:val="18"/>
      <w:lang w:eastAsia="ja-JP"/>
    </w:rPr>
  </w:style>
  <w:style w:styleId="SubtitleChar" w:type="character">
    <w:name w:val="Subtitle Char"/>
    <w:basedOn w:val="DefaultParagraphFont"/>
    <w:link w:val="Subtitle"/>
    <w:qFormat/>
    <w:rPr>
      <w:rFonts w:eastAsia="ＭＳ Ｐゴシック"/>
      <w:color w:val="002A5C"/>
      <w:spacing w:val="15"/>
      <w:sz w:val="32"/>
    </w:rPr>
  </w:style>
  <w:style w:styleId="SubtleReference" w:type="character">
    <w:name w:val="Subtle Reference"/>
    <w:basedOn w:val="DefaultParagraphFont"/>
    <w:qFormat/>
    <w:rPr>
      <w:smallCaps/>
      <w:color w:val="5A5A5A"/>
    </w:rPr>
  </w:style>
  <w:style w:styleId="Heading4Char" w:type="character">
    <w:name w:val="Heading 4 Char"/>
    <w:basedOn w:val="DefaultParagraphFont"/>
    <w:qFormat/>
    <w:rPr>
      <w:rFonts w:ascii="Arial" w:cs="Arial" w:eastAsia="ＭＳ Ｐゴシック" w:hAnsi="Arial"/>
      <w:i/>
      <w:iCs/>
      <w:color w:val="2F5496"/>
    </w:rPr>
  </w:style>
  <w:style w:styleId="SubtleEmphasis" w:type="character">
    <w:name w:val="Subtle Emphasis"/>
    <w:basedOn w:val="DefaultParagraphFont"/>
    <w:qFormat/>
    <w:rPr>
      <w:rFonts w:ascii="Arial" w:hAnsi="Arial"/>
      <w:i/>
      <w:iCs/>
      <w:color w:val="404040"/>
    </w:rPr>
  </w:style>
  <w:style w:styleId="Pagenumber" w:type="character">
    <w:name w:val="page number"/>
    <w:basedOn w:val="DefaultParagraphFont"/>
    <w:qFormat/>
    <w:rPr/>
  </w:style>
  <w:style w:styleId="PlaceholderText" w:type="character">
    <w:name w:val="Placeholder Text"/>
    <w:basedOn w:val="DefaultParagraphFont"/>
    <w:qFormat/>
    <w:rPr>
      <w:color w:val="808080"/>
    </w:rPr>
  </w:style>
  <w:style w:styleId="UnresolvedMention2" w:type="character">
    <w:name w:val="Unresolved Mention2"/>
    <w:basedOn w:val="DefaultParagraphFont"/>
    <w:qFormat/>
    <w:rPr>
      <w:color w:val="605E5C"/>
      <w:shd w:fill="E1DFDD" w:val="clear"/>
    </w:rPr>
  </w:style>
  <w:style w:styleId="VisitedInternetLink" w:type="character">
    <w:name w:val="FollowedHyperlink"/>
    <w:basedOn w:val="DefaultParagraphFont"/>
    <w:rPr>
      <w:color w:val="954F72"/>
      <w:u w:val="single"/>
    </w:rPr>
  </w:style>
  <w:style w:styleId="UnresolvedMention3" w:type="character">
    <w:name w:val="Unresolved Mention3"/>
    <w:basedOn w:val="DefaultParagraphFont"/>
    <w:qFormat/>
    <w:rPr>
      <w:color w:val="605E5C"/>
      <w:shd w:fill="E1DFDD" w:val="clear"/>
    </w:rPr>
  </w:style>
  <w:style w:styleId="UnresolvedMention4" w:type="character">
    <w:name w:val="Unresolved Mention4"/>
    <w:basedOn w:val="DefaultParagraphFont"/>
    <w:qFormat/>
    <w:rPr>
      <w:color w:val="605E5C"/>
      <w:shd w:fill="E1DFDD" w:val="clear"/>
    </w:rPr>
  </w:style>
  <w:style w:styleId="UnresolvedMention" w:type="character">
    <w:name w:val="Unresolved Mention"/>
    <w:basedOn w:val="DefaultParagraphFont"/>
    <w:qFormat/>
    <w:rPr>
      <w:color w:val="605E5C"/>
      <w:shd w:fill="E1DFDD" w:val="clear"/>
    </w:rPr>
  </w:style>
  <w:style w:styleId="HTMLPreformattedChar" w:type="character">
    <w:name w:val="HTML Preformatted Char"/>
    <w:basedOn w:val="DefaultParagraphFont"/>
    <w:qFormat/>
    <w:rPr>
      <w:rFonts w:ascii="Courier New" w:cs="Courier New" w:eastAsia="Times New Roman" w:hAnsi="Courier New"/>
      <w:sz w:val="20"/>
      <w:szCs w:val="20"/>
      <w:lang w:eastAsia="en-CA"/>
    </w:rPr>
  </w:style>
  <w:style w:styleId="StrongEmphasis" w:type="character">
    <w:name w:val="Strong"/>
    <w:qFormat/>
    <w:rPr>
      <w:b/>
      <w:bCs/>
    </w:rPr>
  </w:style>
  <w:style w:styleId="Heading" w:type="paragraph">
    <w:name w:val="Heading"/>
    <w:basedOn w:val="Normal"/>
    <w:next w:val="TextBody"/>
    <w:qFormat/>
    <w:pPr>
      <w:keepNext w:val="true"/>
      <w:spacing w:after="120" w:before="240"/>
    </w:pPr>
    <w:rPr>
      <w:rFonts w:ascii="Liberation Sans" w:cs="DejaVu Sans" w:eastAsia="DejaVu Sans" w:hAnsi="Liberation Sans"/>
      <w:sz w:val="28"/>
      <w:szCs w:val="28"/>
    </w:rPr>
  </w:style>
  <w:style w:styleId="TextBody" w:type="paragraph">
    <w:name w:val="Body Text"/>
    <w:basedOn w:val="Normal"/>
    <w:pPr>
      <w:spacing w:after="140" w:before="0" w:line="276" w:lineRule="auto"/>
    </w:pPr>
    <w:rPr/>
  </w:style>
  <w:style w:styleId="List" w:type="paragraph">
    <w:name w:val="List"/>
    <w:basedOn w:val="TextBody"/>
    <w:pPr/>
    <w:rPr/>
  </w:style>
  <w:style w:styleId="Caption" w:type="paragraph">
    <w:name w:val="Caption"/>
    <w:basedOn w:val="Normal"/>
    <w:qFormat/>
    <w:pPr>
      <w:suppressLineNumbers/>
      <w:spacing w:after="120" w:before="120"/>
    </w:pPr>
    <w:rPr>
      <w:i/>
      <w:iCs/>
      <w:sz w:val="24"/>
      <w:szCs w:val="24"/>
    </w:rPr>
  </w:style>
  <w:style w:styleId="Index" w:type="paragraph">
    <w:name w:val="Index"/>
    <w:basedOn w:val="Normal"/>
    <w:qFormat/>
    <w:pPr>
      <w:suppressLineNumbers/>
    </w:pPr>
    <w:rPr/>
  </w:style>
  <w:style w:styleId="ListParagraph" w:type="paragraph">
    <w:name w:val="List Paragraph"/>
    <w:basedOn w:val="Normal"/>
    <w:qFormat/>
    <w:pPr>
      <w:spacing w:after="160" w:before="0"/>
      <w:ind w:hanging="0" w:left="720" w:right="0"/>
      <w:contextualSpacing/>
    </w:pPr>
    <w:rPr/>
  </w:style>
  <w:style w:styleId="HeaderandFooter" w:type="paragraph">
    <w:name w:val="Header and Footer"/>
    <w:basedOn w:val="Normal"/>
    <w:qFormat/>
    <w:pPr/>
    <w:rPr/>
  </w:style>
  <w:style w:styleId="Header" w:type="paragraph">
    <w:name w:val="Header"/>
    <w:basedOn w:val="Normal"/>
    <w:pPr>
      <w:tabs>
        <w:tab w:pos="720" w:val="clear"/>
        <w:tab w:leader="none" w:pos="4680" w:val="center"/>
        <w:tab w:leader="none" w:pos="9360" w:val="right"/>
      </w:tabs>
      <w:spacing w:after="0" w:before="0" w:line="240" w:lineRule="auto"/>
    </w:pPr>
    <w:rPr/>
  </w:style>
  <w:style w:styleId="Footer" w:type="paragraph">
    <w:name w:val="Footer"/>
    <w:basedOn w:val="Normal"/>
    <w:pPr>
      <w:tabs>
        <w:tab w:pos="720" w:val="clear"/>
        <w:tab w:leader="none" w:pos="4680" w:val="center"/>
        <w:tab w:leader="none" w:pos="9360" w:val="right"/>
      </w:tabs>
      <w:spacing w:after="0" w:before="0" w:line="240" w:lineRule="auto"/>
    </w:pPr>
    <w:rPr/>
  </w:style>
  <w:style w:styleId="Title" w:type="paragraph">
    <w:name w:val="Title"/>
    <w:basedOn w:val="Heading1"/>
    <w:next w:val="Subtitle"/>
    <w:qFormat/>
    <w:pPr>
      <w:spacing w:after="80" w:before="240" w:line="240" w:lineRule="auto"/>
      <w:contextualSpacing/>
    </w:pPr>
    <w:rPr>
      <w:spacing w:val="-10"/>
      <w:kern w:val="2"/>
      <w:sz w:val="40"/>
      <w:szCs w:val="56"/>
    </w:rPr>
  </w:style>
  <w:style w:styleId="Revision" w:type="paragraph">
    <w:name w:val="Revision"/>
    <w:qFormat/>
    <w:pPr>
      <w:widowControl/>
      <w:kinsoku w:val="true"/>
      <w:overflowPunct w:val="true"/>
      <w:autoSpaceDE w:val="true"/>
      <w:bidi w:val="0"/>
      <w:spacing w:after="0" w:before="0" w:line="240" w:lineRule="auto"/>
      <w:jc w:val="left"/>
    </w:pPr>
    <w:rPr>
      <w:rFonts w:ascii="Arial" w:cs="Arial" w:eastAsia="Arial" w:hAnsi="Arial"/>
      <w:color w:val="auto"/>
      <w:kern w:val="0"/>
      <w:sz w:val="22"/>
      <w:szCs w:val="22"/>
      <w:lang w:bidi="ar-SA" w:eastAsia="ja-JP" w:val="en-CA"/>
    </w:rPr>
  </w:style>
  <w:style w:styleId="BalloonText" w:type="paragraph">
    <w:name w:val="Balloon Text"/>
    <w:basedOn w:val="Normal"/>
    <w:qFormat/>
    <w:pPr>
      <w:spacing w:after="0" w:before="0" w:line="240" w:lineRule="auto"/>
    </w:pPr>
    <w:rPr>
      <w:rFonts w:ascii="Times New Roman" w:cs="Times New Roman" w:hAnsi="Times New Roman"/>
      <w:sz w:val="18"/>
      <w:szCs w:val="18"/>
    </w:rPr>
  </w:style>
  <w:style w:styleId="NoSpacing" w:type="paragraph">
    <w:name w:val="No Spacing"/>
    <w:qFormat/>
    <w:pPr>
      <w:widowControl/>
      <w:kinsoku w:val="true"/>
      <w:overflowPunct w:val="true"/>
      <w:autoSpaceDE w:val="true"/>
      <w:bidi w:val="0"/>
      <w:spacing w:after="0" w:before="0" w:line="240" w:lineRule="auto"/>
      <w:jc w:val="left"/>
    </w:pPr>
    <w:rPr>
      <w:rFonts w:ascii="Arial" w:cs="Arial" w:eastAsia="Arial" w:hAnsi="Arial"/>
      <w:color w:val="44546A"/>
      <w:kern w:val="0"/>
      <w:sz w:val="20"/>
      <w:szCs w:val="20"/>
      <w:lang w:bidi="ar-SA" w:eastAsia="en-US" w:val="en-CA"/>
    </w:rPr>
  </w:style>
  <w:style w:styleId="Subtitle" w:type="paragraph">
    <w:name w:val="Subtitle"/>
    <w:basedOn w:val="Normal"/>
    <w:next w:val="Normal"/>
    <w:qFormat/>
    <w:pPr>
      <w:spacing w:line="240" w:lineRule="auto"/>
    </w:pPr>
    <w:rPr>
      <w:rFonts w:eastAsia="ＭＳ Ｐゴシック"/>
      <w:color w:val="002A5C"/>
      <w:spacing w:val="15"/>
      <w:sz w:val="32"/>
    </w:rPr>
  </w:style>
  <w:style w:styleId="HTMLPreformatted" w:type="paragraph">
    <w:name w:val="HTML Preformatted"/>
    <w:basedOn w:val="Normal"/>
    <w:qFormat/>
    <w:pPr>
      <w:tabs>
        <w:tab w:pos="720" w:val="clear"/>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pPr>
    <w:rPr>
      <w:rFonts w:ascii="Courier New" w:cs="Courier New" w:eastAsia="Times New Roman" w:hAnsi="Courier New"/>
      <w:sz w:val="20"/>
      <w:szCs w:val="20"/>
      <w:lang w:eastAsia="en-CA"/>
    </w:rPr>
  </w:style>
  <w:style w:styleId="TableContents" w:type="paragraph">
    <w:name w:val="Table Contents"/>
    <w:basedOn w:val="Normal"/>
    <w:qFormat/>
    <w:pPr>
      <w:widowControl w:val="false"/>
      <w:suppressLineNumbers/>
    </w:pPr>
    <w:rPr/>
  </w:style>
  <w:style w:styleId="TableHeading" w:type="paragraph">
    <w:name w:val="Table Heading"/>
    <w:basedOn w:val="TableContents"/>
    <w:qFormat/>
    <w:pPr>
      <w:suppressLineNumbers/>
      <w:jc w:val="center"/>
    </w:pPr>
    <w:rPr>
      <w:b/>
      <w:bCs/>
    </w:rPr>
  </w:style>
  <w:style w:styleId="NoList" w:type="numbering">
    <w:name w:val="No List"/>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settings.xml" Type="http://schemas.openxmlformats.org/officeDocument/2006/relationships/settings"/><Relationship Id="rId2" Target="mailto:h.krause@utoronto.ca" TargetMode="External" Type="http://schemas.openxmlformats.org/officeDocument/2006/relationships/hyperlink"/><Relationship Id="rId3" Target="mailto:Stephanie.Protze@uhnresearch.ca" TargetMode="External" Type="http://schemas.openxmlformats.org/officeDocument/2006/relationships/hyperlink"/><Relationship Id="rId4" Target="mailto:meizhen@lunenfeld.ca" TargetMode="External" Type="http://schemas.openxmlformats.org/officeDocument/2006/relationships/hyperlink"/><Relationship Id="rId5" Target="header1.xml" Type="http://schemas.openxmlformats.org/officeDocument/2006/relationships/header"/><Relationship Id="rId6" Target="header2.xml" Type="http://schemas.openxmlformats.org/officeDocument/2006/relationships/header"/><Relationship Id="rId7" Target="footer1.xml" Type="http://schemas.openxmlformats.org/officeDocument/2006/relationships/footer"/><Relationship Id="rId8" Target="footer2.xml" Type="http://schemas.openxmlformats.org/officeDocument/2006/relationships/footer"/><Relationship Id="rId9"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xmlns:vt="http://schemas.openxmlformats.org/officeDocument/2006/docPropsVTypes">
  <Template>Normal</Template>
  <TotalTime>557</TotalTime>
  <Application>LibreOffice/7.5.8.2$Linux_X86_64 LibreOffice_project/f718d63693263970429a68f568db6046aaa9df01</Application>
  <AppVersion>15.0000</AppVersion>
  <Pages>6</Pages>
  <Words>1903</Words>
  <Characters>10723</Characters>
  <CharactersWithSpaces>12537</CharactersWithSpaces>
  <Paragraphs>100</Paragraphs>
  <Company>Department of ABC</Compan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2022-08-10T17:35:00Z</dcterms:created>
  <dc:creator>MGY460H1 F Syllabus – Valid as of</dc:creator>
  <dc:language>en-US</dc:language>
  <cp:lastModifiedBy>System</cp:lastModifiedBy>
  <cp:lastPrinted>2022-05-09T15:52:00Z</cp:lastPrinted>
  <dcterms:modified xsi:type="dcterms:W3CDTF">2024-01-16T18:46:00Z</dcterms:modified>
  <cp:revision>168</cp:revision>
  <dc:subject>Fall 2022 syllabus for ABC101H1 F</dc:subject>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0x010100CCC006C55753BC43A1A9B3877784A938</vt:lpwstr>
  </property>
  <property fmtid="{D5CDD505-2E9C-101B-9397-08002B2CF9AE}" name="MediaServiceImageTags" pid="3">
    <vt:lpwstr/>
  </property>
</Properties>
</file>